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907F0" w14:textId="77777777" w:rsidR="00026EB1" w:rsidRPr="009E0F6C" w:rsidRDefault="00026EB1" w:rsidP="00DF6649">
      <w:pPr>
        <w:jc w:val="both"/>
        <w:rPr>
          <w:b/>
          <w:sz w:val="24"/>
          <w:szCs w:val="24"/>
        </w:rPr>
      </w:pPr>
      <w:r w:rsidRPr="009E0F6C">
        <w:rPr>
          <w:b/>
          <w:sz w:val="24"/>
          <w:szCs w:val="24"/>
        </w:rPr>
        <w:t>Justiitsministeerium</w:t>
      </w:r>
    </w:p>
    <w:p w14:paraId="66D1C782" w14:textId="0A09FFFB" w:rsidR="008416DA" w:rsidRDefault="008A4C86" w:rsidP="00DF6649">
      <w:pPr>
        <w:jc w:val="both"/>
        <w:rPr>
          <w:sz w:val="24"/>
          <w:szCs w:val="24"/>
        </w:rPr>
      </w:pPr>
      <w:r>
        <w:rPr>
          <w:sz w:val="24"/>
          <w:szCs w:val="24"/>
        </w:rPr>
        <w:t>Suur-Ameerika 1</w:t>
      </w:r>
    </w:p>
    <w:p w14:paraId="79F05A7A" w14:textId="07E0C547" w:rsidR="008A4C86" w:rsidRPr="009E0F6C" w:rsidRDefault="008A4C86" w:rsidP="00DF6649">
      <w:pPr>
        <w:jc w:val="both"/>
        <w:rPr>
          <w:sz w:val="24"/>
          <w:szCs w:val="24"/>
        </w:rPr>
      </w:pPr>
      <w:r>
        <w:rPr>
          <w:sz w:val="24"/>
          <w:szCs w:val="24"/>
        </w:rPr>
        <w:t>10122 Tallinn</w:t>
      </w:r>
    </w:p>
    <w:p w14:paraId="15AF4C2D" w14:textId="34A00276" w:rsidR="00026EB1" w:rsidRDefault="0043273D" w:rsidP="00DF6649">
      <w:pPr>
        <w:jc w:val="both"/>
        <w:rPr>
          <w:sz w:val="24"/>
          <w:szCs w:val="24"/>
        </w:rPr>
      </w:pPr>
      <w:hyperlink r:id="rId7" w:history="1">
        <w:r w:rsidR="00D24667" w:rsidRPr="00C320D6">
          <w:rPr>
            <w:rStyle w:val="Hperlink"/>
            <w:sz w:val="24"/>
            <w:szCs w:val="24"/>
          </w:rPr>
          <w:t>info@just.ee</w:t>
        </w:r>
      </w:hyperlink>
      <w:r w:rsidR="00D24667">
        <w:rPr>
          <w:sz w:val="24"/>
          <w:szCs w:val="24"/>
        </w:rPr>
        <w:t xml:space="preserve"> </w:t>
      </w:r>
    </w:p>
    <w:p w14:paraId="0519D43C" w14:textId="77777777" w:rsidR="008A4C86" w:rsidRDefault="008A4C86" w:rsidP="00DF6649">
      <w:pPr>
        <w:jc w:val="both"/>
        <w:rPr>
          <w:sz w:val="24"/>
          <w:szCs w:val="24"/>
        </w:rPr>
      </w:pPr>
    </w:p>
    <w:p w14:paraId="68663779" w14:textId="77777777" w:rsidR="008A4C86" w:rsidRPr="009E0F6C" w:rsidRDefault="008A4C86" w:rsidP="00DF6649">
      <w:pPr>
        <w:jc w:val="both"/>
        <w:rPr>
          <w:sz w:val="24"/>
          <w:szCs w:val="24"/>
        </w:rPr>
      </w:pPr>
    </w:p>
    <w:p w14:paraId="42F14941" w14:textId="141DE726" w:rsidR="00026EB1" w:rsidRPr="009E0F6C" w:rsidRDefault="00D24667" w:rsidP="00D24667">
      <w:pPr>
        <w:jc w:val="right"/>
        <w:rPr>
          <w:sz w:val="24"/>
          <w:szCs w:val="24"/>
        </w:rPr>
      </w:pPr>
      <w:r>
        <w:rPr>
          <w:sz w:val="24"/>
          <w:szCs w:val="24"/>
        </w:rPr>
        <w:t>25</w:t>
      </w:r>
      <w:r w:rsidR="00026EB1" w:rsidRPr="009E0F6C">
        <w:rPr>
          <w:sz w:val="24"/>
          <w:szCs w:val="24"/>
        </w:rPr>
        <w:t xml:space="preserve">. </w:t>
      </w:r>
      <w:r>
        <w:rPr>
          <w:sz w:val="24"/>
          <w:szCs w:val="24"/>
        </w:rPr>
        <w:t xml:space="preserve">märtsil </w:t>
      </w:r>
      <w:r w:rsidR="00026EB1" w:rsidRPr="009E0F6C">
        <w:rPr>
          <w:sz w:val="24"/>
          <w:szCs w:val="24"/>
        </w:rPr>
        <w:t>20</w:t>
      </w:r>
      <w:r>
        <w:rPr>
          <w:sz w:val="24"/>
          <w:szCs w:val="24"/>
        </w:rPr>
        <w:t>24</w:t>
      </w:r>
    </w:p>
    <w:p w14:paraId="27D4F20E" w14:textId="77777777" w:rsidR="00026EB1" w:rsidRPr="009E0F6C" w:rsidRDefault="00026EB1" w:rsidP="00DF6649">
      <w:pPr>
        <w:jc w:val="both"/>
        <w:rPr>
          <w:sz w:val="24"/>
          <w:szCs w:val="24"/>
        </w:rPr>
      </w:pPr>
    </w:p>
    <w:p w14:paraId="2F56BC08" w14:textId="77777777" w:rsidR="00026EB1" w:rsidRPr="009E0F6C" w:rsidRDefault="00026EB1" w:rsidP="00DF6649">
      <w:pPr>
        <w:jc w:val="both"/>
        <w:rPr>
          <w:sz w:val="24"/>
          <w:szCs w:val="24"/>
        </w:rPr>
      </w:pPr>
    </w:p>
    <w:p w14:paraId="2D785A8C" w14:textId="77777777" w:rsidR="00026EB1" w:rsidRPr="009E0F6C" w:rsidRDefault="00026EB1" w:rsidP="00DF6649">
      <w:pPr>
        <w:jc w:val="both"/>
        <w:rPr>
          <w:b/>
          <w:sz w:val="24"/>
          <w:szCs w:val="24"/>
        </w:rPr>
      </w:pPr>
      <w:r w:rsidRPr="009E0F6C">
        <w:rPr>
          <w:b/>
          <w:sz w:val="24"/>
          <w:szCs w:val="24"/>
        </w:rPr>
        <w:t>ARVAMUS</w:t>
      </w:r>
    </w:p>
    <w:p w14:paraId="3F882F82" w14:textId="4EAC0C87" w:rsidR="007266C1" w:rsidRDefault="00D24667" w:rsidP="00DF6649">
      <w:pPr>
        <w:jc w:val="both"/>
        <w:rPr>
          <w:b/>
          <w:sz w:val="24"/>
          <w:szCs w:val="24"/>
        </w:rPr>
      </w:pPr>
      <w:r>
        <w:rPr>
          <w:b/>
          <w:sz w:val="24"/>
          <w:szCs w:val="24"/>
        </w:rPr>
        <w:t>Maksejõuetuse teenistuse 08.01.2024. a kirjas nr 12-1/2024-001-1 esitatud ettepanekutele</w:t>
      </w:r>
    </w:p>
    <w:p w14:paraId="33226B34" w14:textId="77777777" w:rsidR="00D24667" w:rsidRPr="009E0F6C" w:rsidRDefault="00D24667" w:rsidP="00DF6649">
      <w:pPr>
        <w:jc w:val="both"/>
        <w:rPr>
          <w:sz w:val="24"/>
          <w:szCs w:val="24"/>
        </w:rPr>
      </w:pPr>
    </w:p>
    <w:p w14:paraId="4A1D311A" w14:textId="1645B284" w:rsidR="00234D6B" w:rsidRDefault="00D24667" w:rsidP="00F67F3F">
      <w:pPr>
        <w:jc w:val="both"/>
        <w:rPr>
          <w:bCs/>
          <w:sz w:val="24"/>
          <w:szCs w:val="24"/>
        </w:rPr>
      </w:pPr>
      <w:r w:rsidRPr="00D24667">
        <w:rPr>
          <w:bCs/>
          <w:sz w:val="24"/>
          <w:szCs w:val="24"/>
        </w:rPr>
        <w:t>Maksej</w:t>
      </w:r>
      <w:r>
        <w:rPr>
          <w:bCs/>
          <w:sz w:val="24"/>
          <w:szCs w:val="24"/>
        </w:rPr>
        <w:t>õuese teenistus esitas 8. jaanuari 2024. a kirjas nr 12-1-/2024-001-01 justiitsministrile ettepanekud</w:t>
      </w:r>
      <w:r w:rsidR="00234D6B">
        <w:rPr>
          <w:bCs/>
          <w:sz w:val="24"/>
          <w:szCs w:val="24"/>
        </w:rPr>
        <w:t xml:space="preserve"> muuta pankrotiseadust ja teisi asjassepuutuvaid õiguskate. Nimetatud ettepanekud tulenesid </w:t>
      </w:r>
      <w:proofErr w:type="spellStart"/>
      <w:r w:rsidR="00234D6B">
        <w:rPr>
          <w:bCs/>
          <w:sz w:val="24"/>
          <w:szCs w:val="24"/>
        </w:rPr>
        <w:t>Maksejõetuse</w:t>
      </w:r>
      <w:proofErr w:type="spellEnd"/>
      <w:r w:rsidR="00234D6B">
        <w:rPr>
          <w:bCs/>
          <w:sz w:val="24"/>
          <w:szCs w:val="24"/>
        </w:rPr>
        <w:t xml:space="preserve"> teenistuse 2023. a </w:t>
      </w:r>
      <w:proofErr w:type="spellStart"/>
      <w:r w:rsidR="00234D6B">
        <w:rPr>
          <w:bCs/>
          <w:sz w:val="24"/>
          <w:szCs w:val="24"/>
        </w:rPr>
        <w:t>tegevuaruandest</w:t>
      </w:r>
      <w:proofErr w:type="spellEnd"/>
      <w:r w:rsidR="00234D6B">
        <w:rPr>
          <w:bCs/>
          <w:sz w:val="24"/>
          <w:szCs w:val="24"/>
        </w:rPr>
        <w:t xml:space="preserve">. Justiitsministeerium pöördus </w:t>
      </w:r>
      <w:r w:rsidR="00C649E8">
        <w:rPr>
          <w:bCs/>
          <w:sz w:val="24"/>
          <w:szCs w:val="24"/>
        </w:rPr>
        <w:t xml:space="preserve">                </w:t>
      </w:r>
      <w:r w:rsidR="00234D6B">
        <w:rPr>
          <w:bCs/>
          <w:sz w:val="24"/>
          <w:szCs w:val="24"/>
        </w:rPr>
        <w:t xml:space="preserve">26. veebruaril 2024. a Tartu Ülikooli poole arvamuse avaldamiseks viidatud ettepanekutele.  Tartu Ülikooli seisukohad seoses Maksejõuetuse teenistuse poolt esitatud ettepanekutega on järgmised. </w:t>
      </w:r>
    </w:p>
    <w:p w14:paraId="3915A466" w14:textId="77777777" w:rsidR="00234D6B" w:rsidRDefault="00234D6B" w:rsidP="00F67F3F">
      <w:pPr>
        <w:jc w:val="both"/>
        <w:rPr>
          <w:bCs/>
          <w:sz w:val="24"/>
          <w:szCs w:val="24"/>
        </w:rPr>
      </w:pPr>
    </w:p>
    <w:p w14:paraId="6E8888FC" w14:textId="77777777" w:rsidR="00234D6B" w:rsidRDefault="00234D6B" w:rsidP="00F67F3F">
      <w:pPr>
        <w:jc w:val="both"/>
        <w:rPr>
          <w:bCs/>
          <w:sz w:val="24"/>
          <w:szCs w:val="24"/>
        </w:rPr>
      </w:pPr>
    </w:p>
    <w:p w14:paraId="0345B86C" w14:textId="299C755D" w:rsidR="00F67F3F" w:rsidRDefault="00234D6B" w:rsidP="00F67F3F">
      <w:pPr>
        <w:jc w:val="both"/>
        <w:rPr>
          <w:b/>
          <w:sz w:val="24"/>
          <w:szCs w:val="24"/>
        </w:rPr>
      </w:pPr>
      <w:r w:rsidRPr="00234D6B">
        <w:rPr>
          <w:b/>
          <w:sz w:val="24"/>
          <w:szCs w:val="24"/>
        </w:rPr>
        <w:t>I</w:t>
      </w:r>
      <w:r w:rsidRPr="00234D6B">
        <w:rPr>
          <w:b/>
          <w:sz w:val="24"/>
          <w:szCs w:val="24"/>
        </w:rPr>
        <w:tab/>
        <w:t>ÜLDISED TÄHELEPANEKUD</w:t>
      </w:r>
      <w:r w:rsidR="00D24667" w:rsidRPr="00234D6B">
        <w:rPr>
          <w:b/>
          <w:sz w:val="24"/>
          <w:szCs w:val="24"/>
        </w:rPr>
        <w:t xml:space="preserve"> </w:t>
      </w:r>
    </w:p>
    <w:p w14:paraId="451EC8E6" w14:textId="77777777" w:rsidR="00234D6B" w:rsidRPr="00093D7F" w:rsidRDefault="00234D6B" w:rsidP="00F67F3F">
      <w:pPr>
        <w:jc w:val="both"/>
        <w:rPr>
          <w:bCs/>
          <w:sz w:val="24"/>
          <w:szCs w:val="24"/>
        </w:rPr>
      </w:pPr>
    </w:p>
    <w:p w14:paraId="741D8707" w14:textId="52AB1B6C" w:rsidR="00EA7BB9" w:rsidRDefault="00A84381" w:rsidP="004A5189">
      <w:pPr>
        <w:pStyle w:val="Loendilik"/>
        <w:numPr>
          <w:ilvl w:val="0"/>
          <w:numId w:val="16"/>
        </w:numPr>
        <w:jc w:val="both"/>
        <w:rPr>
          <w:bCs/>
          <w:sz w:val="24"/>
          <w:szCs w:val="24"/>
        </w:rPr>
      </w:pPr>
      <w:r w:rsidRPr="004A5189">
        <w:rPr>
          <w:bCs/>
          <w:sz w:val="24"/>
          <w:szCs w:val="24"/>
        </w:rPr>
        <w:t xml:space="preserve">Maksejõuetuse teenistus </w:t>
      </w:r>
      <w:r w:rsidR="00D97CE6" w:rsidRPr="004A5189">
        <w:rPr>
          <w:bCs/>
          <w:sz w:val="24"/>
          <w:szCs w:val="24"/>
        </w:rPr>
        <w:t xml:space="preserve">(edaspidi „MJT“) </w:t>
      </w:r>
      <w:r w:rsidRPr="004A5189">
        <w:rPr>
          <w:bCs/>
          <w:sz w:val="24"/>
          <w:szCs w:val="24"/>
        </w:rPr>
        <w:t xml:space="preserve">on Eesti õiguskorras täiesti uus institutsioon, mis alustas tegevust 1. jaanuaril 2022. </w:t>
      </w:r>
      <w:r w:rsidR="00EA7BB9" w:rsidRPr="004A5189">
        <w:rPr>
          <w:bCs/>
          <w:sz w:val="24"/>
          <w:szCs w:val="24"/>
        </w:rPr>
        <w:t>Seega on MJT tegutsenud natuke üle ühe aasta. Oluline on märkida, et MJT tekkis 2015</w:t>
      </w:r>
      <w:r w:rsidR="00C649E8">
        <w:rPr>
          <w:bCs/>
          <w:sz w:val="24"/>
          <w:szCs w:val="24"/>
        </w:rPr>
        <w:t>.–</w:t>
      </w:r>
      <w:r w:rsidR="00EA7BB9" w:rsidRPr="004A5189">
        <w:rPr>
          <w:bCs/>
          <w:sz w:val="24"/>
          <w:szCs w:val="24"/>
        </w:rPr>
        <w:t>2022. a</w:t>
      </w:r>
      <w:r w:rsidR="00C649E8">
        <w:rPr>
          <w:bCs/>
          <w:sz w:val="24"/>
          <w:szCs w:val="24"/>
        </w:rPr>
        <w:t>-l</w:t>
      </w:r>
      <w:r w:rsidR="00EA7BB9" w:rsidRPr="004A5189">
        <w:rPr>
          <w:bCs/>
          <w:sz w:val="24"/>
          <w:szCs w:val="24"/>
        </w:rPr>
        <w:t xml:space="preserve"> läbiviidud maksejõuetuse õiguse revisjoni tulemusena. Nimetatud revisjon</w:t>
      </w:r>
      <w:r w:rsidR="003F499C" w:rsidRPr="004A5189">
        <w:rPr>
          <w:bCs/>
          <w:sz w:val="24"/>
          <w:szCs w:val="24"/>
        </w:rPr>
        <w:t>i käigus</w:t>
      </w:r>
      <w:r w:rsidR="00EA7BB9" w:rsidRPr="004A5189">
        <w:rPr>
          <w:bCs/>
          <w:sz w:val="24"/>
          <w:szCs w:val="24"/>
        </w:rPr>
        <w:t xml:space="preserve"> analüüsi</w:t>
      </w:r>
      <w:r w:rsidR="003F499C" w:rsidRPr="004A5189">
        <w:rPr>
          <w:bCs/>
          <w:sz w:val="24"/>
          <w:szCs w:val="24"/>
        </w:rPr>
        <w:t>ti</w:t>
      </w:r>
      <w:r w:rsidR="00EA7BB9" w:rsidRPr="004A5189">
        <w:rPr>
          <w:bCs/>
          <w:sz w:val="24"/>
          <w:szCs w:val="24"/>
        </w:rPr>
        <w:t xml:space="preserve"> põhjalikult MJT-</w:t>
      </w:r>
      <w:proofErr w:type="spellStart"/>
      <w:r w:rsidR="00EA7BB9" w:rsidRPr="004A5189">
        <w:rPr>
          <w:bCs/>
          <w:sz w:val="24"/>
          <w:szCs w:val="24"/>
        </w:rPr>
        <w:t>ga</w:t>
      </w:r>
      <w:proofErr w:type="spellEnd"/>
      <w:r w:rsidR="00EA7BB9" w:rsidRPr="004A5189">
        <w:rPr>
          <w:bCs/>
          <w:sz w:val="24"/>
          <w:szCs w:val="24"/>
        </w:rPr>
        <w:t xml:space="preserve"> seonduvaid küsimusi, mille tagajärjel kehtestati pankrotiseadusesse</w:t>
      </w:r>
      <w:r w:rsidR="00C649E8">
        <w:rPr>
          <w:bCs/>
          <w:sz w:val="24"/>
          <w:szCs w:val="24"/>
        </w:rPr>
        <w:t xml:space="preserve"> (</w:t>
      </w:r>
      <w:proofErr w:type="spellStart"/>
      <w:r w:rsidR="00C649E8">
        <w:rPr>
          <w:bCs/>
          <w:sz w:val="24"/>
          <w:szCs w:val="24"/>
        </w:rPr>
        <w:t>PankrS</w:t>
      </w:r>
      <w:proofErr w:type="spellEnd"/>
      <w:r w:rsidR="00C649E8">
        <w:rPr>
          <w:bCs/>
          <w:sz w:val="24"/>
          <w:szCs w:val="24"/>
        </w:rPr>
        <w:t>)</w:t>
      </w:r>
      <w:r w:rsidR="00EA7BB9" w:rsidRPr="004A5189">
        <w:rPr>
          <w:bCs/>
          <w:sz w:val="24"/>
          <w:szCs w:val="24"/>
        </w:rPr>
        <w:t xml:space="preserve"> peatükk 12</w:t>
      </w:r>
      <w:r w:rsidR="00EA7BB9" w:rsidRPr="004A5189">
        <w:rPr>
          <w:bCs/>
          <w:sz w:val="24"/>
          <w:szCs w:val="24"/>
          <w:vertAlign w:val="superscript"/>
        </w:rPr>
        <w:t>1</w:t>
      </w:r>
      <w:r w:rsidR="00EA7BB9" w:rsidRPr="004A5189">
        <w:rPr>
          <w:bCs/>
          <w:sz w:val="24"/>
          <w:szCs w:val="24"/>
        </w:rPr>
        <w:t xml:space="preserve"> „Maksejõuetuse teenistus“</w:t>
      </w:r>
      <w:r w:rsidR="003F499C" w:rsidRPr="004A5189">
        <w:rPr>
          <w:bCs/>
          <w:sz w:val="24"/>
          <w:szCs w:val="24"/>
        </w:rPr>
        <w:t xml:space="preserve"> kehtivas sõnastuses</w:t>
      </w:r>
      <w:r w:rsidR="00EA7BB9" w:rsidRPr="004A5189">
        <w:rPr>
          <w:bCs/>
          <w:sz w:val="24"/>
          <w:szCs w:val="24"/>
        </w:rPr>
        <w:t>.</w:t>
      </w:r>
      <w:r w:rsidR="003F499C" w:rsidRPr="004A5189">
        <w:rPr>
          <w:bCs/>
          <w:sz w:val="24"/>
          <w:szCs w:val="24"/>
        </w:rPr>
        <w:t xml:space="preserve"> Riigikohtu praktikas ei ole veel ühtegi lahendit seonduvalt MJT-</w:t>
      </w:r>
      <w:proofErr w:type="spellStart"/>
      <w:r w:rsidR="003F499C" w:rsidRPr="004A5189">
        <w:rPr>
          <w:bCs/>
          <w:sz w:val="24"/>
          <w:szCs w:val="24"/>
        </w:rPr>
        <w:t>ga</w:t>
      </w:r>
      <w:proofErr w:type="spellEnd"/>
      <w:r w:rsidR="003F499C" w:rsidRPr="004A5189">
        <w:rPr>
          <w:bCs/>
          <w:sz w:val="24"/>
          <w:szCs w:val="24"/>
        </w:rPr>
        <w:t>. Esimese ja teise astmete kohtutes hakkab alles praktika seonduvalt MJT-</w:t>
      </w:r>
      <w:proofErr w:type="spellStart"/>
      <w:r w:rsidR="003F499C" w:rsidRPr="004A5189">
        <w:rPr>
          <w:bCs/>
          <w:sz w:val="24"/>
          <w:szCs w:val="24"/>
        </w:rPr>
        <w:t>ga</w:t>
      </w:r>
      <w:proofErr w:type="spellEnd"/>
      <w:r w:rsidR="003F499C" w:rsidRPr="004A5189">
        <w:rPr>
          <w:bCs/>
          <w:sz w:val="24"/>
          <w:szCs w:val="24"/>
        </w:rPr>
        <w:t xml:space="preserve"> tekkima. Arvamuse koostajad leiavad, et ühe aastase pr</w:t>
      </w:r>
      <w:r w:rsidR="00C649E8">
        <w:rPr>
          <w:bCs/>
          <w:sz w:val="24"/>
          <w:szCs w:val="24"/>
        </w:rPr>
        <w:t>a</w:t>
      </w:r>
      <w:r w:rsidR="003F499C" w:rsidRPr="004A5189">
        <w:rPr>
          <w:bCs/>
          <w:sz w:val="24"/>
          <w:szCs w:val="24"/>
        </w:rPr>
        <w:t>ktika pinnalt on vara teha märkimisväärseid järeldusi MJT-</w:t>
      </w:r>
      <w:proofErr w:type="spellStart"/>
      <w:r w:rsidR="003F499C" w:rsidRPr="004A5189">
        <w:rPr>
          <w:bCs/>
          <w:sz w:val="24"/>
          <w:szCs w:val="24"/>
        </w:rPr>
        <w:t>ga</w:t>
      </w:r>
      <w:proofErr w:type="spellEnd"/>
      <w:r w:rsidR="003F499C" w:rsidRPr="004A5189">
        <w:rPr>
          <w:bCs/>
          <w:sz w:val="24"/>
          <w:szCs w:val="24"/>
        </w:rPr>
        <w:t xml:space="preserve"> seonduvates küsimustes. Samuti on äärmiselt küsitav vajadus muuta seaduseid seoses MJT tegevusega ilma analüüsimata viidatud muudatuste mõju maksejõuetuse menetlustele laiemalt. </w:t>
      </w:r>
    </w:p>
    <w:p w14:paraId="08CED45C" w14:textId="4F17DC91" w:rsidR="004A5189" w:rsidRDefault="004A5189" w:rsidP="004A5189">
      <w:pPr>
        <w:pStyle w:val="Loendilik"/>
        <w:jc w:val="both"/>
        <w:rPr>
          <w:bCs/>
          <w:sz w:val="24"/>
          <w:szCs w:val="24"/>
        </w:rPr>
      </w:pPr>
    </w:p>
    <w:p w14:paraId="71F1C797" w14:textId="1737999D" w:rsidR="0065792D" w:rsidRPr="004A5189" w:rsidRDefault="00513B95" w:rsidP="00513B95">
      <w:pPr>
        <w:pStyle w:val="Loendilik"/>
        <w:numPr>
          <w:ilvl w:val="0"/>
          <w:numId w:val="16"/>
        </w:numPr>
        <w:jc w:val="both"/>
        <w:rPr>
          <w:bCs/>
          <w:sz w:val="24"/>
          <w:szCs w:val="24"/>
        </w:rPr>
      </w:pPr>
      <w:r w:rsidRPr="004A5189">
        <w:rPr>
          <w:bCs/>
          <w:sz w:val="24"/>
          <w:szCs w:val="24"/>
        </w:rPr>
        <w:t xml:space="preserve">Maksejõuetuse teenistuse mõiste, pädevus ja õigused ning kohustused on sätestatud eelkõige </w:t>
      </w:r>
      <w:proofErr w:type="spellStart"/>
      <w:r w:rsidRPr="004A5189">
        <w:rPr>
          <w:bCs/>
          <w:sz w:val="24"/>
          <w:szCs w:val="24"/>
        </w:rPr>
        <w:t>PankrS</w:t>
      </w:r>
      <w:proofErr w:type="spellEnd"/>
      <w:r w:rsidRPr="004A5189">
        <w:rPr>
          <w:bCs/>
          <w:sz w:val="24"/>
          <w:szCs w:val="24"/>
        </w:rPr>
        <w:t xml:space="preserve"> 12</w:t>
      </w:r>
      <w:r w:rsidRPr="004A5189">
        <w:rPr>
          <w:bCs/>
          <w:sz w:val="24"/>
          <w:szCs w:val="24"/>
          <w:vertAlign w:val="superscript"/>
        </w:rPr>
        <w:t>1</w:t>
      </w:r>
      <w:r w:rsidR="00C649E8">
        <w:rPr>
          <w:bCs/>
          <w:sz w:val="24"/>
          <w:szCs w:val="24"/>
        </w:rPr>
        <w:t>.</w:t>
      </w:r>
      <w:r w:rsidRPr="004A5189">
        <w:rPr>
          <w:bCs/>
          <w:sz w:val="24"/>
          <w:szCs w:val="24"/>
        </w:rPr>
        <w:t xml:space="preserve"> peatükis. </w:t>
      </w:r>
      <w:r w:rsidR="00D97CE6" w:rsidRPr="004A5189">
        <w:rPr>
          <w:bCs/>
          <w:sz w:val="24"/>
          <w:szCs w:val="24"/>
        </w:rPr>
        <w:t>Viidatud peatüki kohaselt on MJT osa pankrotimenetlusest, mitte eraldi eksisteeriv institutsioon</w:t>
      </w:r>
      <w:r w:rsidR="003F499C" w:rsidRPr="004A5189">
        <w:rPr>
          <w:bCs/>
          <w:sz w:val="24"/>
          <w:szCs w:val="24"/>
        </w:rPr>
        <w:t xml:space="preserve"> väljaspool pankrotimenetlusest</w:t>
      </w:r>
      <w:r w:rsidR="00D97CE6" w:rsidRPr="004A5189">
        <w:rPr>
          <w:bCs/>
          <w:sz w:val="24"/>
          <w:szCs w:val="24"/>
        </w:rPr>
        <w:t xml:space="preserve">. Vastavalt </w:t>
      </w:r>
      <w:proofErr w:type="spellStart"/>
      <w:r w:rsidR="00D97CE6" w:rsidRPr="004A5189">
        <w:rPr>
          <w:bCs/>
          <w:sz w:val="24"/>
          <w:szCs w:val="24"/>
        </w:rPr>
        <w:t>PankrS</w:t>
      </w:r>
      <w:proofErr w:type="spellEnd"/>
      <w:r w:rsidR="00D97CE6" w:rsidRPr="004A5189">
        <w:rPr>
          <w:bCs/>
          <w:sz w:val="24"/>
          <w:szCs w:val="24"/>
        </w:rPr>
        <w:t xml:space="preserve"> § 192</w:t>
      </w:r>
      <w:r w:rsidR="00D97CE6" w:rsidRPr="004A5189">
        <w:rPr>
          <w:bCs/>
          <w:sz w:val="24"/>
          <w:szCs w:val="24"/>
          <w:vertAlign w:val="superscript"/>
        </w:rPr>
        <w:t>1</w:t>
      </w:r>
      <w:r w:rsidR="00D97CE6" w:rsidRPr="004A5189">
        <w:rPr>
          <w:bCs/>
          <w:sz w:val="24"/>
          <w:szCs w:val="24"/>
        </w:rPr>
        <w:t xml:space="preserve"> </w:t>
      </w:r>
      <w:proofErr w:type="spellStart"/>
      <w:r w:rsidR="00D97CE6" w:rsidRPr="004A5189">
        <w:rPr>
          <w:bCs/>
          <w:sz w:val="24"/>
          <w:szCs w:val="24"/>
        </w:rPr>
        <w:t>lg-le</w:t>
      </w:r>
      <w:proofErr w:type="spellEnd"/>
      <w:r w:rsidR="00D97CE6" w:rsidRPr="004A5189">
        <w:rPr>
          <w:bCs/>
          <w:sz w:val="24"/>
          <w:szCs w:val="24"/>
        </w:rPr>
        <w:t xml:space="preserve"> 1 teostab MJT </w:t>
      </w:r>
      <w:r w:rsidR="00D97CE6" w:rsidRPr="004A5189">
        <w:rPr>
          <w:bCs/>
          <w:color w:val="202020"/>
          <w:sz w:val="24"/>
          <w:szCs w:val="24"/>
          <w:shd w:val="clear" w:color="auto" w:fill="FFFFFF"/>
        </w:rPr>
        <w:t>järelevalvet seoses võlgniku pankrotimenetlusega</w:t>
      </w:r>
      <w:r w:rsidR="003F499C" w:rsidRPr="004A5189">
        <w:rPr>
          <w:bCs/>
          <w:color w:val="202020"/>
          <w:sz w:val="24"/>
          <w:szCs w:val="24"/>
          <w:shd w:val="clear" w:color="auto" w:fill="FFFFFF"/>
        </w:rPr>
        <w:t>.</w:t>
      </w:r>
      <w:r w:rsidR="00D97CE6" w:rsidRPr="004A5189">
        <w:rPr>
          <w:bCs/>
          <w:color w:val="202020"/>
          <w:sz w:val="24"/>
          <w:szCs w:val="24"/>
          <w:shd w:val="clear" w:color="auto" w:fill="FFFFFF"/>
        </w:rPr>
        <w:t xml:space="preserve"> </w:t>
      </w:r>
      <w:r w:rsidR="00C649E8">
        <w:rPr>
          <w:bCs/>
          <w:color w:val="202020"/>
          <w:sz w:val="24"/>
          <w:szCs w:val="24"/>
          <w:shd w:val="clear" w:color="auto" w:fill="FFFFFF"/>
        </w:rPr>
        <w:t>Selle</w:t>
      </w:r>
      <w:r w:rsidR="00D97CE6" w:rsidRPr="004A5189">
        <w:rPr>
          <w:bCs/>
          <w:color w:val="202020"/>
          <w:sz w:val="24"/>
          <w:szCs w:val="24"/>
          <w:shd w:val="clear" w:color="auto" w:fill="FFFFFF"/>
        </w:rPr>
        <w:t xml:space="preserve"> normi kohaselt tekivad MJT õigused seoses võimalik</w:t>
      </w:r>
      <w:r w:rsidR="00DD3910" w:rsidRPr="004A5189">
        <w:rPr>
          <w:bCs/>
          <w:color w:val="202020"/>
          <w:sz w:val="24"/>
          <w:szCs w:val="24"/>
          <w:shd w:val="clear" w:color="auto" w:fill="FFFFFF"/>
        </w:rPr>
        <w:t>u</w:t>
      </w:r>
      <w:r w:rsidR="00D97CE6" w:rsidRPr="004A5189">
        <w:rPr>
          <w:bCs/>
          <w:color w:val="202020"/>
          <w:sz w:val="24"/>
          <w:szCs w:val="24"/>
          <w:shd w:val="clear" w:color="auto" w:fill="FFFFFF"/>
        </w:rPr>
        <w:t xml:space="preserve"> maksejõuetuse menetlusega. Väljaspool maksejõuetuse menetlusi </w:t>
      </w:r>
      <w:r w:rsidR="003F499C" w:rsidRPr="004A5189">
        <w:rPr>
          <w:bCs/>
          <w:color w:val="202020"/>
          <w:sz w:val="24"/>
          <w:szCs w:val="24"/>
          <w:shd w:val="clear" w:color="auto" w:fill="FFFFFF"/>
        </w:rPr>
        <w:t xml:space="preserve">puudub </w:t>
      </w:r>
      <w:r w:rsidR="00D97CE6" w:rsidRPr="004A5189">
        <w:rPr>
          <w:bCs/>
          <w:color w:val="202020"/>
          <w:sz w:val="24"/>
          <w:szCs w:val="24"/>
          <w:shd w:val="clear" w:color="auto" w:fill="FFFFFF"/>
        </w:rPr>
        <w:t>MJT</w:t>
      </w:r>
      <w:r w:rsidR="003F499C" w:rsidRPr="004A5189">
        <w:rPr>
          <w:bCs/>
          <w:color w:val="202020"/>
          <w:sz w:val="24"/>
          <w:szCs w:val="24"/>
          <w:shd w:val="clear" w:color="auto" w:fill="FFFFFF"/>
        </w:rPr>
        <w:t>-l pädevus iseseisvalt tegutseda</w:t>
      </w:r>
      <w:r w:rsidR="00D97CE6" w:rsidRPr="004A5189">
        <w:rPr>
          <w:bCs/>
          <w:color w:val="202020"/>
          <w:sz w:val="24"/>
          <w:szCs w:val="24"/>
          <w:shd w:val="clear" w:color="auto" w:fill="FFFFFF"/>
        </w:rPr>
        <w:t xml:space="preserve">. </w:t>
      </w:r>
      <w:r w:rsidR="00DD3910" w:rsidRPr="004A5189">
        <w:rPr>
          <w:color w:val="202020"/>
          <w:sz w:val="24"/>
          <w:szCs w:val="24"/>
          <w:shd w:val="clear" w:color="auto" w:fill="FFFFFF"/>
        </w:rPr>
        <w:t>Lähtuvalt eelnevast tuleb kõiki muudatusi õiguskorras, mis seonduvad MJT-</w:t>
      </w:r>
      <w:proofErr w:type="spellStart"/>
      <w:r w:rsidR="00DD3910" w:rsidRPr="004A5189">
        <w:rPr>
          <w:color w:val="202020"/>
          <w:sz w:val="24"/>
          <w:szCs w:val="24"/>
          <w:shd w:val="clear" w:color="auto" w:fill="FFFFFF"/>
        </w:rPr>
        <w:t>ga</w:t>
      </w:r>
      <w:proofErr w:type="spellEnd"/>
      <w:r w:rsidR="00C649E8">
        <w:rPr>
          <w:color w:val="202020"/>
          <w:sz w:val="24"/>
          <w:szCs w:val="24"/>
          <w:shd w:val="clear" w:color="auto" w:fill="FFFFFF"/>
        </w:rPr>
        <w:t>,</w:t>
      </w:r>
      <w:r w:rsidR="00DD3910" w:rsidRPr="004A5189">
        <w:rPr>
          <w:color w:val="202020"/>
          <w:sz w:val="24"/>
          <w:szCs w:val="24"/>
          <w:shd w:val="clear" w:color="auto" w:fill="FFFFFF"/>
        </w:rPr>
        <w:t xml:space="preserve"> analüüsida maksejõuetusmenetluste, eelkõige pankrotimenetluse kontekstis. </w:t>
      </w:r>
    </w:p>
    <w:p w14:paraId="4751AAC5" w14:textId="77777777" w:rsidR="004A5189" w:rsidRPr="004A5189" w:rsidRDefault="004A5189" w:rsidP="004A5189">
      <w:pPr>
        <w:pStyle w:val="Loendilik"/>
        <w:rPr>
          <w:bCs/>
          <w:sz w:val="24"/>
          <w:szCs w:val="24"/>
        </w:rPr>
      </w:pPr>
    </w:p>
    <w:p w14:paraId="2CDBDF4C" w14:textId="443B1135" w:rsidR="00513B95" w:rsidRPr="004A5189" w:rsidRDefault="007137D7" w:rsidP="00513B95">
      <w:pPr>
        <w:pStyle w:val="Loendilik"/>
        <w:numPr>
          <w:ilvl w:val="0"/>
          <w:numId w:val="16"/>
        </w:numPr>
        <w:jc w:val="both"/>
        <w:rPr>
          <w:bCs/>
          <w:sz w:val="24"/>
          <w:szCs w:val="24"/>
        </w:rPr>
      </w:pPr>
      <w:r w:rsidRPr="004A5189">
        <w:rPr>
          <w:color w:val="202020"/>
          <w:sz w:val="24"/>
          <w:szCs w:val="24"/>
          <w:shd w:val="clear" w:color="auto" w:fill="FFFFFF"/>
        </w:rPr>
        <w:t xml:space="preserve">Pankrotimenetluse eripäraks on asjaolu, et tegemist on kollektiivse menetlusega. </w:t>
      </w:r>
      <w:r w:rsidR="00FC61F6">
        <w:rPr>
          <w:color w:val="202020"/>
          <w:sz w:val="24"/>
          <w:szCs w:val="24"/>
          <w:shd w:val="clear" w:color="auto" w:fill="FFFFFF"/>
        </w:rPr>
        <w:t>Seda</w:t>
      </w:r>
      <w:r w:rsidRPr="004A5189">
        <w:rPr>
          <w:color w:val="202020"/>
          <w:sz w:val="24"/>
          <w:szCs w:val="24"/>
          <w:shd w:val="clear" w:color="auto" w:fill="FFFFFF"/>
        </w:rPr>
        <w:t xml:space="preserve"> seisukohta toeta</w:t>
      </w:r>
      <w:r w:rsidR="00B50EF3" w:rsidRPr="004A5189">
        <w:rPr>
          <w:color w:val="202020"/>
          <w:sz w:val="24"/>
          <w:szCs w:val="24"/>
          <w:shd w:val="clear" w:color="auto" w:fill="FFFFFF"/>
        </w:rPr>
        <w:t xml:space="preserve">vad </w:t>
      </w:r>
      <w:r w:rsidRPr="004A5189">
        <w:rPr>
          <w:color w:val="202020"/>
          <w:sz w:val="24"/>
          <w:szCs w:val="24"/>
          <w:shd w:val="clear" w:color="auto" w:fill="FFFFFF"/>
        </w:rPr>
        <w:t>erialakirjandus</w:t>
      </w:r>
      <w:r w:rsidR="00FC61F6">
        <w:rPr>
          <w:color w:val="202020"/>
          <w:sz w:val="24"/>
          <w:szCs w:val="24"/>
          <w:shd w:val="clear" w:color="auto" w:fill="FFFFFF"/>
        </w:rPr>
        <w:t>es</w:t>
      </w:r>
      <w:r w:rsidR="00B50EF3" w:rsidRPr="004A5189">
        <w:rPr>
          <w:color w:val="202020"/>
          <w:sz w:val="24"/>
          <w:szCs w:val="24"/>
          <w:shd w:val="clear" w:color="auto" w:fill="FFFFFF"/>
        </w:rPr>
        <w:t xml:space="preserve"> </w:t>
      </w:r>
      <w:r w:rsidR="0065792D" w:rsidRPr="004A5189">
        <w:rPr>
          <w:color w:val="202020"/>
          <w:sz w:val="24"/>
          <w:szCs w:val="24"/>
          <w:shd w:val="clear" w:color="auto" w:fill="FFFFFF"/>
        </w:rPr>
        <w:t xml:space="preserve">enamus rahvusvaheliselt tunnustatud </w:t>
      </w:r>
      <w:r w:rsidR="00B50EF3" w:rsidRPr="004A5189">
        <w:rPr>
          <w:color w:val="202020"/>
          <w:sz w:val="24"/>
          <w:szCs w:val="24"/>
          <w:shd w:val="clear" w:color="auto" w:fill="FFFFFF"/>
        </w:rPr>
        <w:t>autor</w:t>
      </w:r>
      <w:r w:rsidR="0065792D" w:rsidRPr="004A5189">
        <w:rPr>
          <w:color w:val="202020"/>
          <w:sz w:val="24"/>
          <w:szCs w:val="24"/>
          <w:shd w:val="clear" w:color="auto" w:fill="FFFFFF"/>
        </w:rPr>
        <w:t>eid</w:t>
      </w:r>
      <w:r w:rsidR="00B50EF3" w:rsidRPr="004A5189">
        <w:rPr>
          <w:color w:val="202020"/>
          <w:sz w:val="24"/>
          <w:szCs w:val="24"/>
          <w:shd w:val="clear" w:color="auto" w:fill="FFFFFF"/>
        </w:rPr>
        <w:t xml:space="preserve">, sh prof R. </w:t>
      </w:r>
      <w:proofErr w:type="spellStart"/>
      <w:r w:rsidR="00B50EF3" w:rsidRPr="004A5189">
        <w:rPr>
          <w:color w:val="202020"/>
          <w:sz w:val="24"/>
          <w:szCs w:val="24"/>
          <w:shd w:val="clear" w:color="auto" w:fill="FFFFFF"/>
        </w:rPr>
        <w:t>Goode</w:t>
      </w:r>
      <w:proofErr w:type="spellEnd"/>
      <w:r w:rsidR="00B50EF3" w:rsidRPr="004A5189">
        <w:rPr>
          <w:color w:val="202020"/>
          <w:sz w:val="24"/>
          <w:szCs w:val="24"/>
          <w:shd w:val="clear" w:color="auto" w:fill="FFFFFF"/>
        </w:rPr>
        <w:t xml:space="preserve">, prof I. F. </w:t>
      </w:r>
      <w:proofErr w:type="spellStart"/>
      <w:r w:rsidR="00B50EF3" w:rsidRPr="004A5189">
        <w:rPr>
          <w:color w:val="202020"/>
          <w:sz w:val="24"/>
          <w:szCs w:val="24"/>
          <w:shd w:val="clear" w:color="auto" w:fill="FFFFFF"/>
        </w:rPr>
        <w:t>Fletcher</w:t>
      </w:r>
      <w:proofErr w:type="spellEnd"/>
      <w:r w:rsidR="00B50EF3" w:rsidRPr="004A5189">
        <w:rPr>
          <w:color w:val="202020"/>
          <w:sz w:val="24"/>
          <w:szCs w:val="24"/>
          <w:shd w:val="clear" w:color="auto" w:fill="FFFFFF"/>
        </w:rPr>
        <w:t xml:space="preserve">, prof B. </w:t>
      </w:r>
      <w:proofErr w:type="spellStart"/>
      <w:r w:rsidR="00B50EF3" w:rsidRPr="004A5189">
        <w:rPr>
          <w:color w:val="202020"/>
          <w:sz w:val="24"/>
          <w:szCs w:val="24"/>
          <w:shd w:val="clear" w:color="auto" w:fill="FFFFFF"/>
        </w:rPr>
        <w:t>Wessels</w:t>
      </w:r>
      <w:proofErr w:type="spellEnd"/>
      <w:r w:rsidR="00B50EF3" w:rsidRPr="004A5189">
        <w:rPr>
          <w:color w:val="202020"/>
          <w:sz w:val="24"/>
          <w:szCs w:val="24"/>
          <w:shd w:val="clear" w:color="auto" w:fill="FFFFFF"/>
        </w:rPr>
        <w:t xml:space="preserve">, prof C. Paulus, prof R. </w:t>
      </w:r>
      <w:proofErr w:type="spellStart"/>
      <w:r w:rsidR="00B50EF3" w:rsidRPr="004A5189">
        <w:rPr>
          <w:color w:val="202020"/>
          <w:sz w:val="24"/>
          <w:szCs w:val="24"/>
          <w:shd w:val="clear" w:color="auto" w:fill="FFFFFF"/>
        </w:rPr>
        <w:t>Bork</w:t>
      </w:r>
      <w:proofErr w:type="spellEnd"/>
      <w:r w:rsidR="00B50EF3" w:rsidRPr="004A5189">
        <w:rPr>
          <w:color w:val="202020"/>
          <w:sz w:val="24"/>
          <w:szCs w:val="24"/>
          <w:shd w:val="clear" w:color="auto" w:fill="FFFFFF"/>
        </w:rPr>
        <w:t xml:space="preserve">, prof S. </w:t>
      </w:r>
      <w:proofErr w:type="spellStart"/>
      <w:r w:rsidR="00B50EF3" w:rsidRPr="004A5189">
        <w:rPr>
          <w:color w:val="202020"/>
          <w:sz w:val="24"/>
          <w:szCs w:val="24"/>
          <w:shd w:val="clear" w:color="auto" w:fill="FFFFFF"/>
        </w:rPr>
        <w:t>Madaus</w:t>
      </w:r>
      <w:proofErr w:type="spellEnd"/>
      <w:r w:rsidR="0065792D" w:rsidRPr="004A5189">
        <w:rPr>
          <w:color w:val="202020"/>
          <w:sz w:val="24"/>
          <w:szCs w:val="24"/>
          <w:shd w:val="clear" w:color="auto" w:fill="FFFFFF"/>
        </w:rPr>
        <w:t xml:space="preserve"> jne. Prof I. F. </w:t>
      </w:r>
      <w:proofErr w:type="spellStart"/>
      <w:r w:rsidR="0065792D" w:rsidRPr="004A5189">
        <w:rPr>
          <w:color w:val="202020"/>
          <w:sz w:val="24"/>
          <w:szCs w:val="24"/>
          <w:shd w:val="clear" w:color="auto" w:fill="FFFFFF"/>
        </w:rPr>
        <w:t>Fletcher</w:t>
      </w:r>
      <w:proofErr w:type="spellEnd"/>
      <w:r w:rsidR="0065792D" w:rsidRPr="004A5189">
        <w:rPr>
          <w:color w:val="202020"/>
          <w:sz w:val="24"/>
          <w:szCs w:val="24"/>
          <w:shd w:val="clear" w:color="auto" w:fill="FFFFFF"/>
        </w:rPr>
        <w:t xml:space="preserve"> on isegi seisukohal, et kollektiivsuse põhimõte </w:t>
      </w:r>
      <w:r w:rsidR="0065792D" w:rsidRPr="004A5189">
        <w:rPr>
          <w:color w:val="202020"/>
          <w:sz w:val="24"/>
          <w:szCs w:val="24"/>
          <w:shd w:val="clear" w:color="auto" w:fill="FFFFFF"/>
        </w:rPr>
        <w:lastRenderedPageBreak/>
        <w:t>iseloomustab pankrotiõiguse arengut kõige rohkem.</w:t>
      </w:r>
      <w:r w:rsidR="00B50EF3">
        <w:rPr>
          <w:rStyle w:val="Allmrkuseviide"/>
          <w:color w:val="202020"/>
          <w:sz w:val="24"/>
          <w:szCs w:val="24"/>
          <w:shd w:val="clear" w:color="auto" w:fill="FFFFFF"/>
        </w:rPr>
        <w:footnoteReference w:id="1"/>
      </w:r>
      <w:r w:rsidRPr="004A5189">
        <w:rPr>
          <w:color w:val="202020"/>
          <w:sz w:val="24"/>
          <w:szCs w:val="24"/>
          <w:shd w:val="clear" w:color="auto" w:fill="FFFFFF"/>
        </w:rPr>
        <w:t xml:space="preserve"> </w:t>
      </w:r>
      <w:r w:rsidR="00FC61F6">
        <w:rPr>
          <w:color w:val="202020"/>
          <w:sz w:val="24"/>
          <w:szCs w:val="24"/>
          <w:shd w:val="clear" w:color="auto" w:fill="FFFFFF"/>
        </w:rPr>
        <w:t>Ka</w:t>
      </w:r>
      <w:r w:rsidRPr="004A5189">
        <w:rPr>
          <w:color w:val="202020"/>
          <w:sz w:val="24"/>
          <w:szCs w:val="24"/>
          <w:shd w:val="clear" w:color="auto" w:fill="FFFFFF"/>
        </w:rPr>
        <w:t xml:space="preserve"> Riigikohus </w:t>
      </w:r>
      <w:r w:rsidR="00FC61F6">
        <w:rPr>
          <w:color w:val="202020"/>
          <w:sz w:val="24"/>
          <w:szCs w:val="24"/>
          <w:shd w:val="clear" w:color="auto" w:fill="FFFFFF"/>
        </w:rPr>
        <w:t xml:space="preserve">on </w:t>
      </w:r>
      <w:r w:rsidRPr="004A5189">
        <w:rPr>
          <w:color w:val="202020"/>
          <w:sz w:val="24"/>
          <w:szCs w:val="24"/>
          <w:shd w:val="clear" w:color="auto" w:fill="FFFFFF"/>
        </w:rPr>
        <w:t>märkinud, et p</w:t>
      </w:r>
      <w:r w:rsidR="005F37E0" w:rsidRPr="004A5189">
        <w:rPr>
          <w:color w:val="202020"/>
          <w:sz w:val="24"/>
          <w:szCs w:val="24"/>
          <w:shd w:val="clear" w:color="auto" w:fill="FFFFFF"/>
        </w:rPr>
        <w:t xml:space="preserve">ankrotimenetlus </w:t>
      </w:r>
      <w:r w:rsidRPr="004A5189">
        <w:rPr>
          <w:color w:val="202020"/>
          <w:sz w:val="24"/>
          <w:szCs w:val="24"/>
          <w:shd w:val="clear" w:color="auto" w:fill="FFFFFF"/>
        </w:rPr>
        <w:t>on oma olemuselt kollektiivne maksejõuetusmenetlus.</w:t>
      </w:r>
      <w:r>
        <w:rPr>
          <w:rStyle w:val="Allmrkuseviide"/>
          <w:color w:val="202020"/>
          <w:sz w:val="24"/>
          <w:szCs w:val="24"/>
          <w:shd w:val="clear" w:color="auto" w:fill="FFFFFF"/>
        </w:rPr>
        <w:footnoteReference w:id="2"/>
      </w:r>
      <w:r w:rsidRPr="004A5189">
        <w:rPr>
          <w:color w:val="202020"/>
          <w:sz w:val="24"/>
          <w:szCs w:val="24"/>
          <w:shd w:val="clear" w:color="auto" w:fill="FFFFFF"/>
        </w:rPr>
        <w:t xml:space="preserve"> </w:t>
      </w:r>
      <w:r w:rsidR="0065792D" w:rsidRPr="004A5189">
        <w:rPr>
          <w:color w:val="202020"/>
          <w:sz w:val="24"/>
          <w:szCs w:val="24"/>
          <w:shd w:val="clear" w:color="auto" w:fill="FFFFFF"/>
        </w:rPr>
        <w:t>Seega on p</w:t>
      </w:r>
      <w:r w:rsidR="00DD3910" w:rsidRPr="004A5189">
        <w:rPr>
          <w:color w:val="202020"/>
          <w:sz w:val="24"/>
          <w:szCs w:val="24"/>
          <w:shd w:val="clear" w:color="auto" w:fill="FFFFFF"/>
        </w:rPr>
        <w:t xml:space="preserve">ankrotimenetlus </w:t>
      </w:r>
      <w:proofErr w:type="spellStart"/>
      <w:r w:rsidR="00DD3910" w:rsidRPr="004A5189">
        <w:rPr>
          <w:color w:val="202020"/>
          <w:sz w:val="24"/>
          <w:szCs w:val="24"/>
          <w:shd w:val="clear" w:color="auto" w:fill="FFFFFF"/>
        </w:rPr>
        <w:t>eriliigiline</w:t>
      </w:r>
      <w:proofErr w:type="spellEnd"/>
      <w:r w:rsidR="00DD3910" w:rsidRPr="004A5189">
        <w:rPr>
          <w:color w:val="202020"/>
          <w:sz w:val="24"/>
          <w:szCs w:val="24"/>
          <w:shd w:val="clear" w:color="auto" w:fill="FFFFFF"/>
        </w:rPr>
        <w:t xml:space="preserve"> tsiviilkohtumenetlus, mille erisus tuleneb menetluse kollektiivsest iseloomust. </w:t>
      </w:r>
      <w:r w:rsidR="002524C3">
        <w:rPr>
          <w:color w:val="202020"/>
          <w:sz w:val="24"/>
          <w:szCs w:val="24"/>
          <w:shd w:val="clear" w:color="auto" w:fill="FFFFFF"/>
        </w:rPr>
        <w:t>Sel</w:t>
      </w:r>
      <w:r w:rsidR="00DD3910" w:rsidRPr="004A5189">
        <w:rPr>
          <w:color w:val="202020"/>
          <w:sz w:val="24"/>
          <w:szCs w:val="24"/>
          <w:shd w:val="clear" w:color="auto" w:fill="FFFFFF"/>
        </w:rPr>
        <w:t xml:space="preserve"> põhjusel on eraldiseis</w:t>
      </w:r>
      <w:r w:rsidR="00353361" w:rsidRPr="004A5189">
        <w:rPr>
          <w:color w:val="202020"/>
          <w:sz w:val="24"/>
          <w:szCs w:val="24"/>
          <w:shd w:val="clear" w:color="auto" w:fill="FFFFFF"/>
        </w:rPr>
        <w:t>vad</w:t>
      </w:r>
      <w:r w:rsidR="00DD3910" w:rsidRPr="004A5189">
        <w:rPr>
          <w:color w:val="202020"/>
          <w:sz w:val="24"/>
          <w:szCs w:val="24"/>
          <w:shd w:val="clear" w:color="auto" w:fill="FFFFFF"/>
        </w:rPr>
        <w:t xml:space="preserve"> menetlusnormid koondatud pankrotiseadusesse. </w:t>
      </w:r>
    </w:p>
    <w:p w14:paraId="0D6EC5D2" w14:textId="77777777" w:rsidR="004A5189" w:rsidRPr="004A5189" w:rsidRDefault="004A5189" w:rsidP="004A5189">
      <w:pPr>
        <w:pStyle w:val="Loendilik"/>
        <w:rPr>
          <w:bCs/>
          <w:sz w:val="24"/>
          <w:szCs w:val="24"/>
        </w:rPr>
      </w:pPr>
    </w:p>
    <w:p w14:paraId="60082802" w14:textId="290FF805" w:rsidR="00DD3910" w:rsidRDefault="00DD3910" w:rsidP="00513B95">
      <w:pPr>
        <w:pStyle w:val="Loendilik"/>
        <w:numPr>
          <w:ilvl w:val="0"/>
          <w:numId w:val="16"/>
        </w:numPr>
        <w:jc w:val="both"/>
        <w:rPr>
          <w:bCs/>
          <w:sz w:val="24"/>
          <w:szCs w:val="24"/>
        </w:rPr>
      </w:pPr>
      <w:r w:rsidRPr="004A5189">
        <w:rPr>
          <w:bCs/>
          <w:sz w:val="24"/>
          <w:szCs w:val="24"/>
        </w:rPr>
        <w:t xml:space="preserve">Vastavalt </w:t>
      </w:r>
      <w:proofErr w:type="spellStart"/>
      <w:r w:rsidRPr="004A5189">
        <w:rPr>
          <w:bCs/>
          <w:sz w:val="24"/>
          <w:szCs w:val="24"/>
        </w:rPr>
        <w:t>PankrS</w:t>
      </w:r>
      <w:proofErr w:type="spellEnd"/>
      <w:r w:rsidRPr="004A5189">
        <w:rPr>
          <w:bCs/>
          <w:sz w:val="24"/>
          <w:szCs w:val="24"/>
        </w:rPr>
        <w:t xml:space="preserve"> §-le 2 on pankrotimenetluse üheks peamiseks eesmärgiks võlausaldajate nõuete rahuldamine</w:t>
      </w:r>
      <w:r w:rsidR="00353361" w:rsidRPr="004A5189">
        <w:rPr>
          <w:bCs/>
          <w:sz w:val="24"/>
          <w:szCs w:val="24"/>
        </w:rPr>
        <w:t xml:space="preserve"> pankrotivara arvel võimalikult suures ulatuses</w:t>
      </w:r>
      <w:r w:rsidRPr="004A5189">
        <w:rPr>
          <w:bCs/>
          <w:sz w:val="24"/>
          <w:szCs w:val="24"/>
        </w:rPr>
        <w:t>. Nimetatud eesmärki on korduvalt rõhutanud Riigikohus</w:t>
      </w:r>
      <w:r w:rsidR="005F37E0" w:rsidRPr="004A5189">
        <w:rPr>
          <w:bCs/>
          <w:sz w:val="24"/>
          <w:szCs w:val="24"/>
        </w:rPr>
        <w:t>.</w:t>
      </w:r>
      <w:r>
        <w:rPr>
          <w:rStyle w:val="Allmrkuseviide"/>
          <w:bCs/>
          <w:sz w:val="24"/>
          <w:szCs w:val="24"/>
        </w:rPr>
        <w:footnoteReference w:id="3"/>
      </w:r>
      <w:r w:rsidR="00353361" w:rsidRPr="004A5189">
        <w:rPr>
          <w:bCs/>
          <w:sz w:val="24"/>
          <w:szCs w:val="24"/>
        </w:rPr>
        <w:t xml:space="preserve"> Tulenevalt </w:t>
      </w:r>
      <w:proofErr w:type="spellStart"/>
      <w:r w:rsidR="00353361" w:rsidRPr="004A5189">
        <w:rPr>
          <w:bCs/>
          <w:sz w:val="24"/>
          <w:szCs w:val="24"/>
        </w:rPr>
        <w:t>PankrS</w:t>
      </w:r>
      <w:proofErr w:type="spellEnd"/>
      <w:r w:rsidR="00353361" w:rsidRPr="004A5189">
        <w:rPr>
          <w:bCs/>
          <w:sz w:val="24"/>
          <w:szCs w:val="24"/>
        </w:rPr>
        <w:t xml:space="preserve"> §-st 2 ei ole pankrotimenetluse</w:t>
      </w:r>
      <w:r w:rsidR="005F205E" w:rsidRPr="004A5189">
        <w:rPr>
          <w:bCs/>
          <w:sz w:val="24"/>
          <w:szCs w:val="24"/>
        </w:rPr>
        <w:t>s</w:t>
      </w:r>
      <w:r w:rsidR="00353361" w:rsidRPr="004A5189">
        <w:rPr>
          <w:bCs/>
          <w:sz w:val="24"/>
          <w:szCs w:val="24"/>
        </w:rPr>
        <w:t xml:space="preserve"> ise</w:t>
      </w:r>
      <w:r w:rsidR="005F205E" w:rsidRPr="004A5189">
        <w:rPr>
          <w:bCs/>
          <w:sz w:val="24"/>
          <w:szCs w:val="24"/>
        </w:rPr>
        <w:t>se</w:t>
      </w:r>
      <w:r w:rsidR="00353361" w:rsidRPr="004A5189">
        <w:rPr>
          <w:bCs/>
          <w:sz w:val="24"/>
          <w:szCs w:val="24"/>
        </w:rPr>
        <w:t xml:space="preserve">isvaks eesmärgiks võlgniku või võlgniku lähikondsete karistamine. Samas </w:t>
      </w:r>
      <w:r w:rsidR="005F205E" w:rsidRPr="004A5189">
        <w:rPr>
          <w:bCs/>
          <w:sz w:val="24"/>
          <w:szCs w:val="24"/>
        </w:rPr>
        <w:t xml:space="preserve">mööname, et  </w:t>
      </w:r>
      <w:r w:rsidR="00353361" w:rsidRPr="004A5189">
        <w:rPr>
          <w:bCs/>
          <w:sz w:val="24"/>
          <w:szCs w:val="24"/>
        </w:rPr>
        <w:t>pankrotimenetluse</w:t>
      </w:r>
      <w:r w:rsidR="00FE4D1E" w:rsidRPr="004A5189">
        <w:rPr>
          <w:bCs/>
          <w:sz w:val="24"/>
          <w:szCs w:val="24"/>
        </w:rPr>
        <w:t>s on</w:t>
      </w:r>
      <w:r w:rsidR="00353361" w:rsidRPr="004A5189">
        <w:rPr>
          <w:bCs/>
          <w:sz w:val="24"/>
          <w:szCs w:val="24"/>
        </w:rPr>
        <w:t xml:space="preserve"> oluliseks probleemiks varatu</w:t>
      </w:r>
      <w:r w:rsidR="005F205E" w:rsidRPr="004A5189">
        <w:rPr>
          <w:bCs/>
          <w:sz w:val="24"/>
          <w:szCs w:val="24"/>
        </w:rPr>
        <w:t>te</w:t>
      </w:r>
      <w:r w:rsidR="00353361" w:rsidRPr="004A5189">
        <w:rPr>
          <w:bCs/>
          <w:sz w:val="24"/>
          <w:szCs w:val="24"/>
        </w:rPr>
        <w:t xml:space="preserve"> </w:t>
      </w:r>
      <w:r w:rsidR="005F205E" w:rsidRPr="004A5189">
        <w:rPr>
          <w:bCs/>
          <w:sz w:val="24"/>
          <w:szCs w:val="24"/>
        </w:rPr>
        <w:t xml:space="preserve">äriühingute pankrottide raugemised. </w:t>
      </w:r>
    </w:p>
    <w:p w14:paraId="27216F26" w14:textId="77777777" w:rsidR="004A5189" w:rsidRPr="004A5189" w:rsidRDefault="004A5189" w:rsidP="004A5189">
      <w:pPr>
        <w:pStyle w:val="Loendilik"/>
        <w:rPr>
          <w:bCs/>
          <w:sz w:val="24"/>
          <w:szCs w:val="24"/>
        </w:rPr>
      </w:pPr>
    </w:p>
    <w:p w14:paraId="3A35E38A" w14:textId="1B85A361" w:rsidR="00975A02" w:rsidRDefault="002524C3" w:rsidP="00513B95">
      <w:pPr>
        <w:pStyle w:val="Loendilik"/>
        <w:numPr>
          <w:ilvl w:val="0"/>
          <w:numId w:val="16"/>
        </w:numPr>
        <w:jc w:val="both"/>
        <w:rPr>
          <w:bCs/>
          <w:sz w:val="24"/>
          <w:szCs w:val="24"/>
        </w:rPr>
      </w:pPr>
      <w:r>
        <w:rPr>
          <w:bCs/>
          <w:sz w:val="24"/>
          <w:szCs w:val="24"/>
        </w:rPr>
        <w:t>MJT</w:t>
      </w:r>
      <w:r w:rsidR="00A84381" w:rsidRPr="004A5189">
        <w:rPr>
          <w:bCs/>
          <w:sz w:val="24"/>
          <w:szCs w:val="24"/>
        </w:rPr>
        <w:t xml:space="preserve"> loomise üheks peamiseks eesmärgiks oli vähendada ilma varata äriühingute pankrottide arvu, sest varatu äriühingu pankrot lõpeb </w:t>
      </w:r>
      <w:r w:rsidR="005F205E" w:rsidRPr="004A5189">
        <w:rPr>
          <w:bCs/>
          <w:sz w:val="24"/>
          <w:szCs w:val="24"/>
        </w:rPr>
        <w:t xml:space="preserve">peamiselt </w:t>
      </w:r>
      <w:r w:rsidR="00A84381" w:rsidRPr="004A5189">
        <w:rPr>
          <w:bCs/>
          <w:sz w:val="24"/>
          <w:szCs w:val="24"/>
        </w:rPr>
        <w:t>raugemisega.</w:t>
      </w:r>
      <w:r w:rsidR="005F205E" w:rsidRPr="004A5189">
        <w:rPr>
          <w:bCs/>
          <w:sz w:val="24"/>
          <w:szCs w:val="24"/>
        </w:rPr>
        <w:t xml:space="preserve"> Raugenud pankrotimenetluses ei saa võlausaldajad reeglina väljamakseid</w:t>
      </w:r>
      <w:r w:rsidR="00975A02" w:rsidRPr="004A5189">
        <w:rPr>
          <w:bCs/>
          <w:sz w:val="24"/>
          <w:szCs w:val="24"/>
        </w:rPr>
        <w:t>.</w:t>
      </w:r>
      <w:r w:rsidR="00513B95" w:rsidRPr="004A5189">
        <w:rPr>
          <w:bCs/>
          <w:sz w:val="24"/>
          <w:szCs w:val="24"/>
        </w:rPr>
        <w:t xml:space="preserve"> </w:t>
      </w:r>
      <w:r w:rsidR="005F205E" w:rsidRPr="004A5189">
        <w:rPr>
          <w:bCs/>
          <w:sz w:val="24"/>
          <w:szCs w:val="24"/>
        </w:rPr>
        <w:t>Üldteada asjaoluna on ä</w:t>
      </w:r>
      <w:r w:rsidR="00513B95" w:rsidRPr="004A5189">
        <w:rPr>
          <w:bCs/>
          <w:sz w:val="24"/>
          <w:szCs w:val="24"/>
        </w:rPr>
        <w:t xml:space="preserve">riühingute pankrottide raugemise </w:t>
      </w:r>
      <w:r w:rsidR="005F205E" w:rsidRPr="004A5189">
        <w:rPr>
          <w:bCs/>
          <w:sz w:val="24"/>
          <w:szCs w:val="24"/>
        </w:rPr>
        <w:t xml:space="preserve">põhjuseks </w:t>
      </w:r>
      <w:r w:rsidR="00975A02" w:rsidRPr="004A5189">
        <w:rPr>
          <w:bCs/>
          <w:sz w:val="24"/>
          <w:szCs w:val="24"/>
        </w:rPr>
        <w:t>sageli</w:t>
      </w:r>
      <w:r w:rsidR="005F205E" w:rsidRPr="004A5189">
        <w:rPr>
          <w:bCs/>
          <w:sz w:val="24"/>
          <w:szCs w:val="24"/>
        </w:rPr>
        <w:t xml:space="preserve"> </w:t>
      </w:r>
      <w:r w:rsidR="00513B95" w:rsidRPr="004A5189">
        <w:rPr>
          <w:bCs/>
          <w:sz w:val="24"/>
          <w:szCs w:val="24"/>
        </w:rPr>
        <w:t xml:space="preserve">võlgniku </w:t>
      </w:r>
      <w:r w:rsidR="00975A02" w:rsidRPr="004A5189">
        <w:rPr>
          <w:bCs/>
          <w:sz w:val="24"/>
          <w:szCs w:val="24"/>
        </w:rPr>
        <w:t xml:space="preserve">hilinenud </w:t>
      </w:r>
      <w:r w:rsidR="00513B95" w:rsidRPr="004A5189">
        <w:rPr>
          <w:bCs/>
          <w:sz w:val="24"/>
          <w:szCs w:val="24"/>
        </w:rPr>
        <w:t>pankrotiavalduse esitamine.</w:t>
      </w:r>
      <w:r w:rsidR="00975A02">
        <w:rPr>
          <w:rStyle w:val="Allmrkuseviide"/>
          <w:bCs/>
          <w:sz w:val="24"/>
          <w:szCs w:val="24"/>
        </w:rPr>
        <w:footnoteReference w:id="4"/>
      </w:r>
      <w:r w:rsidR="00975A02" w:rsidRPr="004A5189">
        <w:rPr>
          <w:bCs/>
          <w:sz w:val="24"/>
          <w:szCs w:val="24"/>
        </w:rPr>
        <w:t xml:space="preserve">  </w:t>
      </w:r>
    </w:p>
    <w:p w14:paraId="3114A243" w14:textId="77777777" w:rsidR="004A5189" w:rsidRPr="004A5189" w:rsidRDefault="004A5189" w:rsidP="004A5189">
      <w:pPr>
        <w:pStyle w:val="Loendilik"/>
        <w:rPr>
          <w:bCs/>
          <w:sz w:val="24"/>
          <w:szCs w:val="24"/>
        </w:rPr>
      </w:pPr>
    </w:p>
    <w:p w14:paraId="00D61610" w14:textId="2A8D99FB" w:rsidR="00093D7F" w:rsidRDefault="00975A02" w:rsidP="00513B95">
      <w:pPr>
        <w:pStyle w:val="Loendilik"/>
        <w:numPr>
          <w:ilvl w:val="0"/>
          <w:numId w:val="16"/>
        </w:numPr>
        <w:jc w:val="both"/>
        <w:rPr>
          <w:bCs/>
          <w:sz w:val="24"/>
          <w:szCs w:val="24"/>
        </w:rPr>
      </w:pPr>
      <w:r w:rsidRPr="004A5189">
        <w:rPr>
          <w:bCs/>
          <w:sz w:val="24"/>
          <w:szCs w:val="24"/>
        </w:rPr>
        <w:t xml:space="preserve">Juhul, kui võlgnik esitab pankrotiavalduse olukorras, kus </w:t>
      </w:r>
      <w:r w:rsidR="00D44300">
        <w:rPr>
          <w:bCs/>
          <w:sz w:val="24"/>
          <w:szCs w:val="24"/>
        </w:rPr>
        <w:t>tal</w:t>
      </w:r>
      <w:r w:rsidRPr="004A5189">
        <w:rPr>
          <w:bCs/>
          <w:sz w:val="24"/>
          <w:szCs w:val="24"/>
        </w:rPr>
        <w:t xml:space="preserve"> puudub mistahes vara, siis ei ole võimalik pankrotimenetlust läbi viia vara puudumise tõttu, rääkimata võlausaldajate nõuete rahuldamisest. Järelikult on raugemiste vältimiseks ainult kaks võimalust</w:t>
      </w:r>
      <w:r w:rsidR="00D44300">
        <w:rPr>
          <w:bCs/>
          <w:sz w:val="24"/>
          <w:szCs w:val="24"/>
        </w:rPr>
        <w:t>:</w:t>
      </w:r>
      <w:r w:rsidRPr="004A5189">
        <w:rPr>
          <w:bCs/>
          <w:sz w:val="24"/>
          <w:szCs w:val="24"/>
        </w:rPr>
        <w:t xml:space="preserve"> (i) kas võlgnik esitab pankrotiavalduse varem ehk olukorras, kus võlgnik on küll püsivalt maksejõuetu, kuid võlgnikul on vara pankrotimenetluse läbiviimiseks või (ii) keegi teine rahastab pankrotimenetluse läbiviimist.</w:t>
      </w:r>
    </w:p>
    <w:p w14:paraId="4578F359" w14:textId="77777777" w:rsidR="004A5189" w:rsidRPr="004A5189" w:rsidRDefault="004A5189" w:rsidP="004A5189">
      <w:pPr>
        <w:pStyle w:val="Loendilik"/>
        <w:rPr>
          <w:bCs/>
          <w:sz w:val="24"/>
          <w:szCs w:val="24"/>
        </w:rPr>
      </w:pPr>
    </w:p>
    <w:p w14:paraId="6A5D24FC" w14:textId="2BD2B1BC" w:rsidR="00975A02" w:rsidRDefault="00975A02" w:rsidP="00513B95">
      <w:pPr>
        <w:pStyle w:val="Loendilik"/>
        <w:numPr>
          <w:ilvl w:val="0"/>
          <w:numId w:val="16"/>
        </w:numPr>
        <w:jc w:val="both"/>
        <w:rPr>
          <w:bCs/>
          <w:sz w:val="24"/>
          <w:szCs w:val="24"/>
        </w:rPr>
      </w:pPr>
      <w:r w:rsidRPr="004A5189">
        <w:rPr>
          <w:bCs/>
          <w:sz w:val="24"/>
          <w:szCs w:val="24"/>
        </w:rPr>
        <w:t xml:space="preserve">Tulenevalt ülaltoodust on MJT </w:t>
      </w:r>
      <w:r w:rsidR="008902EA" w:rsidRPr="004A5189">
        <w:rPr>
          <w:bCs/>
          <w:sz w:val="24"/>
          <w:szCs w:val="24"/>
        </w:rPr>
        <w:t>ülesandeks rahastada selliseid varatuid pankrotimenetlusi, kus MJT peab sekkumist vajalikuks tagamaks põhjendatud pankrotimenetluse läbiviimise. Pankrotimenetluse läbiviimisel selgitab MJT muuhulgas välja maksejõuetuse põhjuseid ja võimalusel aitab kohtul võtta vastutusele ebaseaduslikult maksejõuetuse põhjustanud isikud (nn pankrotimeistri</w:t>
      </w:r>
      <w:r w:rsidR="00D44300">
        <w:rPr>
          <w:bCs/>
          <w:sz w:val="24"/>
          <w:szCs w:val="24"/>
        </w:rPr>
        <w:t>d</w:t>
      </w:r>
      <w:r w:rsidR="008902EA" w:rsidRPr="004A5189">
        <w:rPr>
          <w:bCs/>
          <w:sz w:val="24"/>
          <w:szCs w:val="24"/>
        </w:rPr>
        <w:t xml:space="preserve">). </w:t>
      </w:r>
      <w:proofErr w:type="spellStart"/>
      <w:r w:rsidR="008902EA" w:rsidRPr="004A5189">
        <w:rPr>
          <w:bCs/>
          <w:sz w:val="24"/>
          <w:szCs w:val="24"/>
        </w:rPr>
        <w:t>Viidadud</w:t>
      </w:r>
      <w:proofErr w:type="spellEnd"/>
      <w:r w:rsidR="008902EA" w:rsidRPr="004A5189">
        <w:rPr>
          <w:bCs/>
          <w:sz w:val="24"/>
          <w:szCs w:val="24"/>
        </w:rPr>
        <w:t xml:space="preserve"> ülesannete täitmiseks on MJT-</w:t>
      </w:r>
      <w:proofErr w:type="spellStart"/>
      <w:r w:rsidR="008902EA" w:rsidRPr="004A5189">
        <w:rPr>
          <w:bCs/>
          <w:sz w:val="24"/>
          <w:szCs w:val="24"/>
        </w:rPr>
        <w:t>le</w:t>
      </w:r>
      <w:proofErr w:type="spellEnd"/>
      <w:r w:rsidR="008902EA" w:rsidRPr="004A5189">
        <w:rPr>
          <w:bCs/>
          <w:sz w:val="24"/>
          <w:szCs w:val="24"/>
        </w:rPr>
        <w:t xml:space="preserve"> antud laialdased volitused </w:t>
      </w:r>
      <w:proofErr w:type="spellStart"/>
      <w:r w:rsidR="008902EA" w:rsidRPr="004A5189">
        <w:rPr>
          <w:bCs/>
          <w:sz w:val="24"/>
          <w:szCs w:val="24"/>
        </w:rPr>
        <w:t>PankrS</w:t>
      </w:r>
      <w:proofErr w:type="spellEnd"/>
      <w:r w:rsidR="008902EA" w:rsidRPr="004A5189">
        <w:rPr>
          <w:bCs/>
          <w:sz w:val="24"/>
          <w:szCs w:val="24"/>
        </w:rPr>
        <w:t xml:space="preserve"> 12</w:t>
      </w:r>
      <w:r w:rsidR="008902EA" w:rsidRPr="004A5189">
        <w:rPr>
          <w:bCs/>
          <w:sz w:val="24"/>
          <w:szCs w:val="24"/>
          <w:vertAlign w:val="superscript"/>
        </w:rPr>
        <w:t>1</w:t>
      </w:r>
      <w:r w:rsidR="00D44300">
        <w:rPr>
          <w:bCs/>
          <w:sz w:val="24"/>
          <w:szCs w:val="24"/>
        </w:rPr>
        <w:t>.</w:t>
      </w:r>
      <w:r w:rsidR="008902EA" w:rsidRPr="004A5189">
        <w:rPr>
          <w:bCs/>
          <w:sz w:val="24"/>
          <w:szCs w:val="24"/>
        </w:rPr>
        <w:t xml:space="preserve"> peatükis. Teisest küljest on MJT tegevuse eesmärgiks </w:t>
      </w:r>
      <w:proofErr w:type="spellStart"/>
      <w:r w:rsidR="008902EA" w:rsidRPr="004A5189">
        <w:rPr>
          <w:bCs/>
          <w:sz w:val="24"/>
          <w:szCs w:val="24"/>
        </w:rPr>
        <w:t>üldpreventsioon</w:t>
      </w:r>
      <w:proofErr w:type="spellEnd"/>
      <w:r w:rsidR="008902EA" w:rsidRPr="004A5189">
        <w:rPr>
          <w:bCs/>
          <w:sz w:val="24"/>
          <w:szCs w:val="24"/>
        </w:rPr>
        <w:t xml:space="preserve">, et võlgnikud esitaksid pankrotiavaldused võimalikult õigeaegselt. Pankrotiavalduste õigeaegsel esitamisel on võlgnikul piisavalt vara pankrotimenetluse läbiviimiseks ja raugemise probleem langeb ära. </w:t>
      </w:r>
    </w:p>
    <w:p w14:paraId="52E99A3C" w14:textId="77777777" w:rsidR="004A5189" w:rsidRPr="004A5189" w:rsidRDefault="004A5189" w:rsidP="004A5189">
      <w:pPr>
        <w:pStyle w:val="Loendilik"/>
        <w:rPr>
          <w:bCs/>
          <w:sz w:val="24"/>
          <w:szCs w:val="24"/>
        </w:rPr>
      </w:pPr>
    </w:p>
    <w:p w14:paraId="50858CB8" w14:textId="28528630" w:rsidR="008902EA" w:rsidRDefault="008902EA" w:rsidP="00513B95">
      <w:pPr>
        <w:pStyle w:val="Loendilik"/>
        <w:numPr>
          <w:ilvl w:val="0"/>
          <w:numId w:val="16"/>
        </w:numPr>
        <w:jc w:val="both"/>
        <w:rPr>
          <w:bCs/>
          <w:sz w:val="24"/>
          <w:szCs w:val="24"/>
        </w:rPr>
      </w:pPr>
      <w:r w:rsidRPr="004A5189">
        <w:rPr>
          <w:bCs/>
          <w:sz w:val="24"/>
          <w:szCs w:val="24"/>
        </w:rPr>
        <w:t xml:space="preserve">Käesoleval juhul soovib MJT </w:t>
      </w:r>
      <w:r w:rsidR="00F81F5C" w:rsidRPr="004A5189">
        <w:rPr>
          <w:bCs/>
          <w:sz w:val="24"/>
          <w:szCs w:val="24"/>
        </w:rPr>
        <w:t>8. jaanuari 2024. a ettepan</w:t>
      </w:r>
      <w:r w:rsidR="00CA7F8D" w:rsidRPr="004A5189">
        <w:rPr>
          <w:bCs/>
          <w:sz w:val="24"/>
          <w:szCs w:val="24"/>
        </w:rPr>
        <w:t>e</w:t>
      </w:r>
      <w:r w:rsidR="00F81F5C" w:rsidRPr="004A5189">
        <w:rPr>
          <w:bCs/>
          <w:sz w:val="24"/>
          <w:szCs w:val="24"/>
        </w:rPr>
        <w:t xml:space="preserve">kus </w:t>
      </w:r>
      <w:r w:rsidRPr="004A5189">
        <w:rPr>
          <w:bCs/>
          <w:sz w:val="24"/>
          <w:szCs w:val="24"/>
        </w:rPr>
        <w:t>õigus</w:t>
      </w:r>
      <w:r w:rsidR="002C4F2F">
        <w:rPr>
          <w:bCs/>
          <w:sz w:val="24"/>
          <w:szCs w:val="24"/>
        </w:rPr>
        <w:t>i</w:t>
      </w:r>
      <w:r w:rsidRPr="004A5189">
        <w:rPr>
          <w:bCs/>
          <w:sz w:val="24"/>
          <w:szCs w:val="24"/>
        </w:rPr>
        <w:t xml:space="preserve"> juurde </w:t>
      </w:r>
      <w:r w:rsidR="00F81F5C" w:rsidRPr="004A5189">
        <w:rPr>
          <w:bCs/>
          <w:sz w:val="24"/>
          <w:szCs w:val="24"/>
        </w:rPr>
        <w:t xml:space="preserve">maksejõuetuse põhjustanud isikutele (võlgnik ja/või esindaja ja/või lähikondne) sanktsioonide määramiseks. </w:t>
      </w:r>
      <w:r w:rsidR="00FE4D1E" w:rsidRPr="004A5189">
        <w:rPr>
          <w:bCs/>
          <w:sz w:val="24"/>
          <w:szCs w:val="24"/>
        </w:rPr>
        <w:t xml:space="preserve">Samuti soovib MJT lisada võlgnikule kohustusi eesmärgiga vähendada raugemisi. </w:t>
      </w:r>
      <w:r w:rsidR="002C4F2F">
        <w:rPr>
          <w:bCs/>
          <w:sz w:val="24"/>
          <w:szCs w:val="24"/>
        </w:rPr>
        <w:t>MJT</w:t>
      </w:r>
      <w:r w:rsidR="00F81F5C" w:rsidRPr="004A5189">
        <w:rPr>
          <w:bCs/>
          <w:sz w:val="24"/>
          <w:szCs w:val="24"/>
        </w:rPr>
        <w:t xml:space="preserve"> lähtub eeldusest, et võimalike maksejõuetuse põhjustajatele täiendavate kohustuste lisamine või juba maksejõuetuse põhjustanud isikutele rangema vastuse määramine aitab kaasa raugemiste vähendamisele. </w:t>
      </w:r>
    </w:p>
    <w:p w14:paraId="5B76579E" w14:textId="77777777" w:rsidR="004A5189" w:rsidRPr="004A5189" w:rsidRDefault="004A5189" w:rsidP="004A5189">
      <w:pPr>
        <w:pStyle w:val="Loendilik"/>
        <w:rPr>
          <w:bCs/>
          <w:sz w:val="24"/>
          <w:szCs w:val="24"/>
        </w:rPr>
      </w:pPr>
    </w:p>
    <w:p w14:paraId="50DD0B59" w14:textId="294192D8" w:rsidR="004C2344" w:rsidRDefault="00F81F5C" w:rsidP="00513B95">
      <w:pPr>
        <w:pStyle w:val="Loendilik"/>
        <w:numPr>
          <w:ilvl w:val="0"/>
          <w:numId w:val="16"/>
        </w:numPr>
        <w:jc w:val="both"/>
        <w:rPr>
          <w:bCs/>
          <w:sz w:val="24"/>
          <w:szCs w:val="24"/>
        </w:rPr>
      </w:pPr>
      <w:r w:rsidRPr="004A5189">
        <w:rPr>
          <w:bCs/>
          <w:sz w:val="24"/>
          <w:szCs w:val="24"/>
        </w:rPr>
        <w:lastRenderedPageBreak/>
        <w:t xml:space="preserve">Arvamuse koostajad on seisukohal, et selline lähenemine ei ole </w:t>
      </w:r>
      <w:r w:rsidR="00FE4D1E" w:rsidRPr="004A5189">
        <w:rPr>
          <w:bCs/>
          <w:sz w:val="24"/>
          <w:szCs w:val="24"/>
        </w:rPr>
        <w:t>põhjendatud</w:t>
      </w:r>
      <w:r w:rsidRPr="004A5189">
        <w:rPr>
          <w:bCs/>
          <w:sz w:val="24"/>
          <w:szCs w:val="24"/>
        </w:rPr>
        <w:t xml:space="preserve">. Juhime justiitsministri tähelepanu asjaolule, et </w:t>
      </w:r>
      <w:r w:rsidR="008A15AC">
        <w:rPr>
          <w:bCs/>
          <w:sz w:val="24"/>
          <w:szCs w:val="24"/>
        </w:rPr>
        <w:t>varem</w:t>
      </w:r>
      <w:r w:rsidRPr="004A5189">
        <w:rPr>
          <w:bCs/>
          <w:sz w:val="24"/>
          <w:szCs w:val="24"/>
        </w:rPr>
        <w:t xml:space="preserve"> oli pankrotiavalduse esitamise kohustuse täitmata jätmine kuritegu </w:t>
      </w:r>
      <w:r w:rsidR="008A15AC">
        <w:rPr>
          <w:bCs/>
          <w:sz w:val="24"/>
          <w:szCs w:val="24"/>
        </w:rPr>
        <w:t>karistusseadustiku</w:t>
      </w:r>
      <w:r w:rsidRPr="004A5189">
        <w:rPr>
          <w:bCs/>
          <w:sz w:val="24"/>
          <w:szCs w:val="24"/>
        </w:rPr>
        <w:t xml:space="preserve"> § 385</w:t>
      </w:r>
      <w:r w:rsidRPr="004A5189">
        <w:rPr>
          <w:bCs/>
          <w:sz w:val="24"/>
          <w:szCs w:val="24"/>
          <w:vertAlign w:val="superscript"/>
        </w:rPr>
        <w:t>1</w:t>
      </w:r>
      <w:r w:rsidRPr="004A5189">
        <w:rPr>
          <w:bCs/>
          <w:sz w:val="24"/>
          <w:szCs w:val="24"/>
        </w:rPr>
        <w:t xml:space="preserve"> alusel. Nimetatud paragrahv tunnistati kehtetuks ning ei keht</w:t>
      </w:r>
      <w:r w:rsidR="00FE4D1E" w:rsidRPr="004A5189">
        <w:rPr>
          <w:bCs/>
          <w:sz w:val="24"/>
          <w:szCs w:val="24"/>
        </w:rPr>
        <w:t>i</w:t>
      </w:r>
      <w:r w:rsidRPr="004A5189">
        <w:rPr>
          <w:bCs/>
          <w:sz w:val="24"/>
          <w:szCs w:val="24"/>
        </w:rPr>
        <w:t xml:space="preserve"> alates 1. jaanuarist 2015. Seletuskirja kohaselt jõuti järeldusele, et </w:t>
      </w:r>
      <w:r w:rsidR="008A15AC">
        <w:rPr>
          <w:bCs/>
          <w:sz w:val="24"/>
          <w:szCs w:val="24"/>
        </w:rPr>
        <w:t>kõnealuses</w:t>
      </w:r>
      <w:r w:rsidRPr="004A5189">
        <w:rPr>
          <w:bCs/>
          <w:sz w:val="24"/>
          <w:szCs w:val="24"/>
        </w:rPr>
        <w:t xml:space="preserve"> küsimuses on täiendav kriminaalvastutus ülemäärane</w:t>
      </w:r>
      <w:r w:rsidR="0001636D" w:rsidRPr="004A5189">
        <w:rPr>
          <w:bCs/>
          <w:sz w:val="24"/>
          <w:szCs w:val="24"/>
        </w:rPr>
        <w:t>.</w:t>
      </w:r>
      <w:r w:rsidRPr="004C2344">
        <w:rPr>
          <w:rStyle w:val="Allmrkuseviide"/>
          <w:bCs/>
          <w:sz w:val="24"/>
          <w:szCs w:val="24"/>
        </w:rPr>
        <w:footnoteReference w:id="5"/>
      </w:r>
      <w:r w:rsidR="0001636D" w:rsidRPr="004A5189">
        <w:rPr>
          <w:bCs/>
          <w:sz w:val="24"/>
          <w:szCs w:val="24"/>
        </w:rPr>
        <w:t xml:space="preserve"> Arvamuse koostajad jagavad seisukohta, et rangemate karistuste määramine ei aita kaasa võlgniku poolt pankrotiavalduse varasemale esitamisele</w:t>
      </w:r>
      <w:r w:rsidR="008A15AC">
        <w:rPr>
          <w:bCs/>
          <w:sz w:val="24"/>
          <w:szCs w:val="24"/>
        </w:rPr>
        <w:t>, vaid mõjub mõjuda vastupidiselt.</w:t>
      </w:r>
    </w:p>
    <w:p w14:paraId="237DDEE3" w14:textId="77777777" w:rsidR="004A5189" w:rsidRPr="004A5189" w:rsidRDefault="004A5189" w:rsidP="004A5189">
      <w:pPr>
        <w:pStyle w:val="Loendilik"/>
        <w:rPr>
          <w:bCs/>
          <w:sz w:val="24"/>
          <w:szCs w:val="24"/>
        </w:rPr>
      </w:pPr>
    </w:p>
    <w:p w14:paraId="78EE61A9" w14:textId="7A15A02F" w:rsidR="00CA7F8D" w:rsidRDefault="0001636D" w:rsidP="00513B95">
      <w:pPr>
        <w:pStyle w:val="Loendilik"/>
        <w:numPr>
          <w:ilvl w:val="0"/>
          <w:numId w:val="16"/>
        </w:numPr>
        <w:jc w:val="both"/>
        <w:rPr>
          <w:bCs/>
          <w:sz w:val="24"/>
          <w:szCs w:val="24"/>
        </w:rPr>
      </w:pPr>
      <w:r w:rsidRPr="004A5189">
        <w:rPr>
          <w:bCs/>
          <w:sz w:val="24"/>
          <w:szCs w:val="24"/>
        </w:rPr>
        <w:t xml:space="preserve">Kehtiva seaduse kohaselt vastutab võlgnik mitteõigeaegse pankrotiavalduse esitamise eest tsiviilõiguse alusel. </w:t>
      </w:r>
      <w:r w:rsidR="004C2344" w:rsidRPr="004A5189">
        <w:rPr>
          <w:bCs/>
          <w:sz w:val="24"/>
          <w:szCs w:val="24"/>
        </w:rPr>
        <w:t xml:space="preserve">Selline tsiviilõiguslik </w:t>
      </w:r>
      <w:r w:rsidRPr="004A5189">
        <w:rPr>
          <w:bCs/>
          <w:sz w:val="24"/>
          <w:szCs w:val="24"/>
        </w:rPr>
        <w:t xml:space="preserve">vastutus peaks tagama seaduskuuleka isiku pankrotiavalduse õigeaegse esitamise. Samas ei taga isegi kriminaalvastutus pahatahtliku isiku õigeaegset pankrotiavalduse esitamist. </w:t>
      </w:r>
    </w:p>
    <w:p w14:paraId="5D1A9A9E" w14:textId="77777777" w:rsidR="004A5189" w:rsidRPr="004A5189" w:rsidRDefault="004A5189" w:rsidP="004A5189">
      <w:pPr>
        <w:pStyle w:val="Loendilik"/>
        <w:rPr>
          <w:bCs/>
          <w:sz w:val="24"/>
          <w:szCs w:val="24"/>
        </w:rPr>
      </w:pPr>
    </w:p>
    <w:p w14:paraId="21056CC5" w14:textId="318F46C9" w:rsidR="00F81F5C" w:rsidRDefault="00CA7F8D" w:rsidP="00513B95">
      <w:pPr>
        <w:pStyle w:val="Loendilik"/>
        <w:numPr>
          <w:ilvl w:val="0"/>
          <w:numId w:val="16"/>
        </w:numPr>
        <w:jc w:val="both"/>
        <w:rPr>
          <w:bCs/>
          <w:sz w:val="24"/>
          <w:szCs w:val="24"/>
        </w:rPr>
      </w:pPr>
      <w:r w:rsidRPr="004A5189">
        <w:rPr>
          <w:bCs/>
          <w:sz w:val="24"/>
          <w:szCs w:val="24"/>
        </w:rPr>
        <w:t>Ühtlasi rõhutame, et kehtivas pankrotiõiguses on MJT-</w:t>
      </w:r>
      <w:proofErr w:type="spellStart"/>
      <w:r w:rsidRPr="004A5189">
        <w:rPr>
          <w:bCs/>
          <w:sz w:val="24"/>
          <w:szCs w:val="24"/>
        </w:rPr>
        <w:t>le</w:t>
      </w:r>
      <w:proofErr w:type="spellEnd"/>
      <w:r w:rsidRPr="004A5189">
        <w:rPr>
          <w:bCs/>
          <w:sz w:val="24"/>
          <w:szCs w:val="24"/>
        </w:rPr>
        <w:t xml:space="preserve"> juba kehtestatud </w:t>
      </w:r>
      <w:proofErr w:type="spellStart"/>
      <w:r w:rsidRPr="004A5189">
        <w:rPr>
          <w:bCs/>
          <w:sz w:val="24"/>
          <w:szCs w:val="24"/>
        </w:rPr>
        <w:t>märkisväärses</w:t>
      </w:r>
      <w:proofErr w:type="spellEnd"/>
      <w:r w:rsidRPr="004A5189">
        <w:rPr>
          <w:bCs/>
          <w:sz w:val="24"/>
          <w:szCs w:val="24"/>
        </w:rPr>
        <w:t xml:space="preserve"> hulgas õigus</w:t>
      </w:r>
      <w:r w:rsidR="008A15AC">
        <w:rPr>
          <w:bCs/>
          <w:sz w:val="24"/>
          <w:szCs w:val="24"/>
        </w:rPr>
        <w:t>ed</w:t>
      </w:r>
      <w:r w:rsidRPr="004A5189">
        <w:rPr>
          <w:bCs/>
          <w:sz w:val="24"/>
          <w:szCs w:val="24"/>
        </w:rPr>
        <w:t xml:space="preserve">, mida MJT-l on võimalik kasutada oma tegevuses. </w:t>
      </w:r>
      <w:r w:rsidR="008A15AC">
        <w:rPr>
          <w:bCs/>
          <w:sz w:val="24"/>
          <w:szCs w:val="24"/>
        </w:rPr>
        <w:t>MJT</w:t>
      </w:r>
      <w:r w:rsidR="004C2344" w:rsidRPr="004A5189">
        <w:rPr>
          <w:bCs/>
          <w:sz w:val="24"/>
          <w:szCs w:val="24"/>
        </w:rPr>
        <w:t xml:space="preserve"> ettepanek täiendavate õiguste kehtestamiseks ning võlgnikule täiendavate kohustuste määramiseks ei aita kaasa pahatahtlike isikute poolt pankrotiavalduse õigeaegsele esitamisele, kuid võib hoopis takistada seaduskuulekate isikute pankrotiavalduse õigeaegsele esitamist.</w:t>
      </w:r>
      <w:r w:rsidR="00B23EBF" w:rsidRPr="004A5189">
        <w:rPr>
          <w:bCs/>
          <w:sz w:val="24"/>
          <w:szCs w:val="24"/>
        </w:rPr>
        <w:t xml:space="preserve"> </w:t>
      </w:r>
      <w:r w:rsidRPr="004A5189">
        <w:rPr>
          <w:bCs/>
          <w:sz w:val="24"/>
          <w:szCs w:val="24"/>
        </w:rPr>
        <w:t>Seega ei pea arvamuse koostajad hetkel põhjendatuks lisada MJT-</w:t>
      </w:r>
      <w:proofErr w:type="spellStart"/>
      <w:r w:rsidRPr="004A5189">
        <w:rPr>
          <w:bCs/>
          <w:sz w:val="24"/>
          <w:szCs w:val="24"/>
        </w:rPr>
        <w:t>le</w:t>
      </w:r>
      <w:proofErr w:type="spellEnd"/>
      <w:r w:rsidRPr="004A5189">
        <w:rPr>
          <w:bCs/>
          <w:sz w:val="24"/>
          <w:szCs w:val="24"/>
        </w:rPr>
        <w:t xml:space="preserve"> juba kehtivatele õigustele </w:t>
      </w:r>
      <w:proofErr w:type="spellStart"/>
      <w:r w:rsidRPr="004A5189">
        <w:rPr>
          <w:bCs/>
          <w:sz w:val="24"/>
          <w:szCs w:val="24"/>
        </w:rPr>
        <w:t>täiendvaid</w:t>
      </w:r>
      <w:proofErr w:type="spellEnd"/>
      <w:r w:rsidRPr="004A5189">
        <w:rPr>
          <w:bCs/>
          <w:sz w:val="24"/>
          <w:szCs w:val="24"/>
        </w:rPr>
        <w:t xml:space="preserve"> õigus</w:t>
      </w:r>
      <w:r w:rsidR="008A15AC">
        <w:rPr>
          <w:bCs/>
          <w:sz w:val="24"/>
          <w:szCs w:val="24"/>
        </w:rPr>
        <w:t>i</w:t>
      </w:r>
      <w:r w:rsidRPr="004A5189">
        <w:rPr>
          <w:bCs/>
          <w:sz w:val="24"/>
          <w:szCs w:val="24"/>
        </w:rPr>
        <w:t xml:space="preserve"> </w:t>
      </w:r>
      <w:r w:rsidR="00B8173D" w:rsidRPr="004A5189">
        <w:rPr>
          <w:bCs/>
          <w:sz w:val="24"/>
          <w:szCs w:val="24"/>
        </w:rPr>
        <w:t xml:space="preserve">ilma vastava praktika </w:t>
      </w:r>
      <w:r w:rsidR="008A15AC">
        <w:rPr>
          <w:bCs/>
          <w:sz w:val="24"/>
          <w:szCs w:val="24"/>
        </w:rPr>
        <w:t>kujunemiseta</w:t>
      </w:r>
      <w:r w:rsidR="00B8173D" w:rsidRPr="004A5189">
        <w:rPr>
          <w:bCs/>
          <w:sz w:val="24"/>
          <w:szCs w:val="24"/>
        </w:rPr>
        <w:t xml:space="preserve"> ja süsteemse maksejõuetuse menetluste analüüsita.</w:t>
      </w:r>
    </w:p>
    <w:p w14:paraId="17783658" w14:textId="77777777" w:rsidR="004A5189" w:rsidRPr="004A5189" w:rsidRDefault="004A5189" w:rsidP="004A5189">
      <w:pPr>
        <w:pStyle w:val="Loendilik"/>
        <w:rPr>
          <w:b/>
          <w:sz w:val="24"/>
          <w:szCs w:val="24"/>
        </w:rPr>
      </w:pPr>
    </w:p>
    <w:p w14:paraId="36CFDABF" w14:textId="18C7AC57" w:rsidR="00093D7F" w:rsidRPr="004A5189" w:rsidRDefault="00B23EBF" w:rsidP="00513B95">
      <w:pPr>
        <w:pStyle w:val="Loendilik"/>
        <w:numPr>
          <w:ilvl w:val="0"/>
          <w:numId w:val="16"/>
        </w:numPr>
        <w:jc w:val="both"/>
        <w:rPr>
          <w:b/>
          <w:sz w:val="24"/>
          <w:szCs w:val="24"/>
        </w:rPr>
      </w:pPr>
      <w:r w:rsidRPr="004A5189">
        <w:rPr>
          <w:b/>
          <w:sz w:val="24"/>
          <w:szCs w:val="24"/>
        </w:rPr>
        <w:t>Kokkuvõtvalt peavad arvamuse koostajad vajalikuks märkida</w:t>
      </w:r>
      <w:r w:rsidR="008A15AC">
        <w:rPr>
          <w:b/>
          <w:sz w:val="24"/>
          <w:szCs w:val="24"/>
        </w:rPr>
        <w:t xml:space="preserve"> üldiselt</w:t>
      </w:r>
      <w:r w:rsidRPr="004A5189">
        <w:rPr>
          <w:b/>
          <w:sz w:val="24"/>
          <w:szCs w:val="24"/>
        </w:rPr>
        <w:t>, et kuivõrd maksejõuetuse õiguses toimus Eestis 2015</w:t>
      </w:r>
      <w:r w:rsidR="008A15AC">
        <w:rPr>
          <w:b/>
          <w:sz w:val="24"/>
          <w:szCs w:val="24"/>
        </w:rPr>
        <w:t>.–</w:t>
      </w:r>
      <w:r w:rsidRPr="004A5189">
        <w:rPr>
          <w:b/>
          <w:sz w:val="24"/>
          <w:szCs w:val="24"/>
        </w:rPr>
        <w:t>2022</w:t>
      </w:r>
      <w:r w:rsidR="00CA7F8D" w:rsidRPr="004A5189">
        <w:rPr>
          <w:b/>
          <w:sz w:val="24"/>
          <w:szCs w:val="24"/>
        </w:rPr>
        <w:t>. a</w:t>
      </w:r>
      <w:r w:rsidRPr="004A5189">
        <w:rPr>
          <w:b/>
          <w:sz w:val="24"/>
          <w:szCs w:val="24"/>
        </w:rPr>
        <w:t xml:space="preserve"> põhjalik revisjon, mille käigus muudeti olulisel määral maksejõuetuse seaduseid (sh loodi MJT), siis ei pea arvamuse koostajad hetkel mõistlikuks ega otstarbekaks üksikute küsimuste lahendamiseks muuta seaduseid ilma põhjalikuma analüüsita, kui</w:t>
      </w:r>
      <w:r w:rsidR="008A15AC">
        <w:rPr>
          <w:b/>
          <w:sz w:val="24"/>
          <w:szCs w:val="24"/>
        </w:rPr>
        <w:t>võrd</w:t>
      </w:r>
      <w:r w:rsidRPr="004A5189">
        <w:rPr>
          <w:b/>
          <w:sz w:val="24"/>
          <w:szCs w:val="24"/>
        </w:rPr>
        <w:t xml:space="preserve"> sellised muudatused mõjutavad maksejõuetuse menetlusi tervikuna. Lisaks leiame, et üks aasta ei ole piisavalt pikk aeg, et teha lõplikke järeldusi MJT-</w:t>
      </w:r>
      <w:proofErr w:type="spellStart"/>
      <w:r w:rsidRPr="004A5189">
        <w:rPr>
          <w:b/>
          <w:sz w:val="24"/>
          <w:szCs w:val="24"/>
        </w:rPr>
        <w:t>ga</w:t>
      </w:r>
      <w:proofErr w:type="spellEnd"/>
      <w:r w:rsidRPr="004A5189">
        <w:rPr>
          <w:b/>
          <w:sz w:val="24"/>
          <w:szCs w:val="24"/>
        </w:rPr>
        <w:t xml:space="preserve"> seonduvates küsimustes. Ühtlasi peame vajalikuks rõhutada, et MJT on osa pankrotimenetlusest, mistõttu tuleb kõikvõimalikke MJT-</w:t>
      </w:r>
      <w:proofErr w:type="spellStart"/>
      <w:r w:rsidRPr="004A5189">
        <w:rPr>
          <w:b/>
          <w:sz w:val="24"/>
          <w:szCs w:val="24"/>
        </w:rPr>
        <w:t>ga</w:t>
      </w:r>
      <w:proofErr w:type="spellEnd"/>
      <w:r w:rsidRPr="004A5189">
        <w:rPr>
          <w:b/>
          <w:sz w:val="24"/>
          <w:szCs w:val="24"/>
        </w:rPr>
        <w:t xml:space="preserve"> seonduvaid küsimusi analüüsida maksejõuetuse õiguse kontekstis. </w:t>
      </w:r>
      <w:r w:rsidR="008A15AC">
        <w:rPr>
          <w:b/>
          <w:sz w:val="24"/>
          <w:szCs w:val="24"/>
        </w:rPr>
        <w:t>Samuti</w:t>
      </w:r>
      <w:r w:rsidR="00EA7BB9" w:rsidRPr="004A5189">
        <w:rPr>
          <w:b/>
          <w:sz w:val="24"/>
          <w:szCs w:val="24"/>
        </w:rPr>
        <w:t xml:space="preserve"> peame vajalikuks selgitada, et r</w:t>
      </w:r>
      <w:r w:rsidRPr="004A5189">
        <w:rPr>
          <w:b/>
          <w:sz w:val="24"/>
          <w:szCs w:val="24"/>
        </w:rPr>
        <w:t xml:space="preserve">angemate sanktsioonide </w:t>
      </w:r>
      <w:r w:rsidR="00EA7BB9" w:rsidRPr="004A5189">
        <w:rPr>
          <w:b/>
          <w:sz w:val="24"/>
          <w:szCs w:val="24"/>
        </w:rPr>
        <w:t xml:space="preserve">ja võlgnikule täiendavate kohustuste määramine </w:t>
      </w:r>
      <w:r w:rsidRPr="004A5189">
        <w:rPr>
          <w:b/>
          <w:sz w:val="24"/>
          <w:szCs w:val="24"/>
        </w:rPr>
        <w:t xml:space="preserve">pankrotiavalduse õigeaegse esitamise </w:t>
      </w:r>
      <w:r w:rsidR="00EA7BB9" w:rsidRPr="004A5189">
        <w:rPr>
          <w:b/>
          <w:sz w:val="24"/>
          <w:szCs w:val="24"/>
        </w:rPr>
        <w:t>probleemi lahendamiseks on äärmiselt küsitav</w:t>
      </w:r>
      <w:r w:rsidRPr="004A5189">
        <w:rPr>
          <w:b/>
          <w:sz w:val="24"/>
          <w:szCs w:val="24"/>
        </w:rPr>
        <w:t xml:space="preserve">. </w:t>
      </w:r>
    </w:p>
    <w:p w14:paraId="6755464D" w14:textId="2CCA310A" w:rsidR="00093D7F" w:rsidRPr="00093D7F" w:rsidRDefault="00093D7F" w:rsidP="00093D7F">
      <w:pPr>
        <w:pStyle w:val="Loendilik"/>
        <w:ind w:left="360"/>
        <w:jc w:val="both"/>
        <w:rPr>
          <w:b/>
          <w:sz w:val="24"/>
          <w:szCs w:val="24"/>
        </w:rPr>
      </w:pPr>
      <w:r w:rsidRPr="00093D7F">
        <w:rPr>
          <w:b/>
          <w:sz w:val="24"/>
          <w:szCs w:val="24"/>
        </w:rPr>
        <w:tab/>
      </w:r>
    </w:p>
    <w:p w14:paraId="359EA676" w14:textId="77777777" w:rsidR="00234D6B" w:rsidRDefault="00234D6B" w:rsidP="00F67F3F">
      <w:pPr>
        <w:jc w:val="both"/>
        <w:rPr>
          <w:b/>
          <w:sz w:val="24"/>
          <w:szCs w:val="24"/>
        </w:rPr>
      </w:pPr>
    </w:p>
    <w:p w14:paraId="67D74321" w14:textId="6C765426" w:rsidR="00234D6B" w:rsidRPr="00234D6B" w:rsidRDefault="00234D6B" w:rsidP="00234D6B">
      <w:pPr>
        <w:jc w:val="both"/>
        <w:rPr>
          <w:b/>
          <w:sz w:val="24"/>
          <w:szCs w:val="24"/>
        </w:rPr>
      </w:pPr>
      <w:r>
        <w:rPr>
          <w:b/>
          <w:sz w:val="24"/>
          <w:szCs w:val="24"/>
        </w:rPr>
        <w:t>I</w:t>
      </w:r>
      <w:r w:rsidRPr="00234D6B">
        <w:rPr>
          <w:b/>
          <w:sz w:val="24"/>
          <w:szCs w:val="24"/>
        </w:rPr>
        <w:t>I</w:t>
      </w:r>
      <w:r w:rsidRPr="00234D6B">
        <w:rPr>
          <w:b/>
          <w:sz w:val="24"/>
          <w:szCs w:val="24"/>
        </w:rPr>
        <w:tab/>
      </w:r>
      <w:r>
        <w:rPr>
          <w:b/>
          <w:sz w:val="24"/>
          <w:szCs w:val="24"/>
        </w:rPr>
        <w:t xml:space="preserve">KONKREETSED </w:t>
      </w:r>
      <w:r w:rsidR="00093D7F">
        <w:rPr>
          <w:b/>
          <w:sz w:val="24"/>
          <w:szCs w:val="24"/>
        </w:rPr>
        <w:t>KÜSIMUSED</w:t>
      </w:r>
    </w:p>
    <w:p w14:paraId="127684F4" w14:textId="77777777" w:rsidR="00234D6B" w:rsidRDefault="00234D6B" w:rsidP="00F67F3F">
      <w:pPr>
        <w:jc w:val="both"/>
        <w:rPr>
          <w:b/>
          <w:sz w:val="24"/>
          <w:szCs w:val="24"/>
        </w:rPr>
      </w:pPr>
    </w:p>
    <w:p w14:paraId="759669EC" w14:textId="3BB67CB9" w:rsidR="00FE4D1E" w:rsidRPr="00FE4D1E" w:rsidRDefault="00FE4D1E" w:rsidP="00F67F3F">
      <w:pPr>
        <w:jc w:val="both"/>
        <w:rPr>
          <w:bCs/>
          <w:sz w:val="24"/>
          <w:szCs w:val="24"/>
        </w:rPr>
      </w:pPr>
      <w:r>
        <w:rPr>
          <w:bCs/>
          <w:sz w:val="24"/>
          <w:szCs w:val="24"/>
        </w:rPr>
        <w:t>Täpsemad seisukohad MJT poolt esitatud ettepanekutele esitame alljärgnevalt. Selguse huvides kasutame MJT poolt välja toodud numeratsiooni.</w:t>
      </w:r>
    </w:p>
    <w:p w14:paraId="608CB328" w14:textId="77777777" w:rsidR="00FE4D1E" w:rsidRDefault="00FE4D1E" w:rsidP="00F67F3F">
      <w:pPr>
        <w:jc w:val="both"/>
        <w:rPr>
          <w:b/>
          <w:sz w:val="24"/>
          <w:szCs w:val="24"/>
        </w:rPr>
      </w:pPr>
    </w:p>
    <w:p w14:paraId="147FD77F" w14:textId="39E4310F" w:rsidR="00FE4D1E" w:rsidRPr="00FE4D1E" w:rsidRDefault="00FE4D1E" w:rsidP="00FE4D1E">
      <w:pPr>
        <w:pStyle w:val="Loendilik"/>
        <w:numPr>
          <w:ilvl w:val="0"/>
          <w:numId w:val="15"/>
        </w:numPr>
        <w:ind w:hanging="720"/>
        <w:jc w:val="both"/>
        <w:rPr>
          <w:b/>
          <w:sz w:val="24"/>
          <w:szCs w:val="24"/>
        </w:rPr>
      </w:pPr>
      <w:proofErr w:type="spellStart"/>
      <w:r w:rsidRPr="00FE4D1E">
        <w:rPr>
          <w:b/>
          <w:sz w:val="24"/>
          <w:szCs w:val="24"/>
        </w:rPr>
        <w:t>PankrS</w:t>
      </w:r>
      <w:proofErr w:type="spellEnd"/>
      <w:r w:rsidRPr="00FE4D1E">
        <w:rPr>
          <w:b/>
          <w:sz w:val="24"/>
          <w:szCs w:val="24"/>
        </w:rPr>
        <w:t xml:space="preserve"> § 13 muutmine</w:t>
      </w:r>
    </w:p>
    <w:p w14:paraId="58DA136F" w14:textId="3496388E" w:rsidR="00FE4D1E" w:rsidRDefault="00FE4D1E" w:rsidP="00FE4D1E">
      <w:pPr>
        <w:jc w:val="both"/>
        <w:rPr>
          <w:bCs/>
          <w:sz w:val="24"/>
          <w:szCs w:val="24"/>
        </w:rPr>
      </w:pPr>
    </w:p>
    <w:p w14:paraId="391A397A" w14:textId="3DC0D4F2" w:rsidR="00534FD7" w:rsidRDefault="005F37E0" w:rsidP="004A5189">
      <w:pPr>
        <w:pStyle w:val="Loendilik"/>
        <w:numPr>
          <w:ilvl w:val="0"/>
          <w:numId w:val="16"/>
        </w:numPr>
        <w:jc w:val="both"/>
        <w:rPr>
          <w:color w:val="202020"/>
          <w:sz w:val="24"/>
          <w:szCs w:val="24"/>
          <w:shd w:val="clear" w:color="auto" w:fill="FFFFFF"/>
        </w:rPr>
      </w:pPr>
      <w:r w:rsidRPr="004A5189">
        <w:rPr>
          <w:bCs/>
          <w:sz w:val="24"/>
          <w:szCs w:val="24"/>
        </w:rPr>
        <w:lastRenderedPageBreak/>
        <w:t xml:space="preserve">PankrS § 13 lg 1 järgi peab võlgnik põhistama oma maksejõuetuse. Vastavalt </w:t>
      </w:r>
      <w:r w:rsidR="00B52017">
        <w:rPr>
          <w:bCs/>
          <w:sz w:val="24"/>
          <w:szCs w:val="24"/>
        </w:rPr>
        <w:t xml:space="preserve">                  </w:t>
      </w:r>
      <w:proofErr w:type="spellStart"/>
      <w:r w:rsidRPr="004A5189">
        <w:rPr>
          <w:bCs/>
          <w:sz w:val="24"/>
          <w:szCs w:val="24"/>
        </w:rPr>
        <w:t>PankrS</w:t>
      </w:r>
      <w:proofErr w:type="spellEnd"/>
      <w:r w:rsidRPr="004A5189">
        <w:rPr>
          <w:bCs/>
          <w:sz w:val="24"/>
          <w:szCs w:val="24"/>
        </w:rPr>
        <w:t xml:space="preserve"> </w:t>
      </w:r>
      <w:r w:rsidR="00B52017">
        <w:rPr>
          <w:bCs/>
          <w:sz w:val="24"/>
          <w:szCs w:val="24"/>
        </w:rPr>
        <w:t xml:space="preserve">§ </w:t>
      </w:r>
      <w:r w:rsidRPr="004A5189">
        <w:rPr>
          <w:bCs/>
          <w:sz w:val="24"/>
          <w:szCs w:val="24"/>
        </w:rPr>
        <w:t xml:space="preserve">13 </w:t>
      </w:r>
      <w:proofErr w:type="spellStart"/>
      <w:r w:rsidRPr="004A5189">
        <w:rPr>
          <w:bCs/>
          <w:sz w:val="24"/>
          <w:szCs w:val="24"/>
        </w:rPr>
        <w:t>lg-le</w:t>
      </w:r>
      <w:proofErr w:type="spellEnd"/>
      <w:r w:rsidRPr="004A5189">
        <w:rPr>
          <w:bCs/>
          <w:sz w:val="24"/>
          <w:szCs w:val="24"/>
        </w:rPr>
        <w:t xml:space="preserve"> 2 lisab võlgnik pankrotiavaldusele maksejõuetuse põhistamiseks seletuse maksejõuetuse põhjuse kohta ja võlanimekirja. </w:t>
      </w:r>
      <w:r w:rsidRPr="004A5189">
        <w:rPr>
          <w:color w:val="202020"/>
          <w:sz w:val="24"/>
          <w:szCs w:val="24"/>
          <w:shd w:val="clear" w:color="auto" w:fill="FFFFFF"/>
        </w:rPr>
        <w:t>Võlanimekirjas märgitakse võlgniku võlausaldajate nimed ja nende elu- või asukohad ning nende nõuded, samuti andmed võlgniku vara kohta. Seega on kehtivas õiguses juba olemas võlgnikul kohustus esitada</w:t>
      </w:r>
      <w:r w:rsidR="00D91FA2" w:rsidRPr="004A5189">
        <w:rPr>
          <w:color w:val="202020"/>
          <w:sz w:val="24"/>
          <w:szCs w:val="24"/>
          <w:shd w:val="clear" w:color="auto" w:fill="FFFFFF"/>
        </w:rPr>
        <w:t xml:space="preserve"> koos pankrotiavaldusega andmed oma majandustegevuse, sh maksejõuetuse põhjuste kohta</w:t>
      </w:r>
      <w:r w:rsidR="004F63FF" w:rsidRPr="004A5189">
        <w:rPr>
          <w:color w:val="202020"/>
          <w:sz w:val="24"/>
          <w:szCs w:val="24"/>
          <w:shd w:val="clear" w:color="auto" w:fill="FFFFFF"/>
        </w:rPr>
        <w:t>.</w:t>
      </w:r>
      <w:r w:rsidR="00D91FA2" w:rsidRPr="004A5189">
        <w:rPr>
          <w:color w:val="202020"/>
          <w:sz w:val="24"/>
          <w:szCs w:val="24"/>
          <w:shd w:val="clear" w:color="auto" w:fill="FFFFFF"/>
        </w:rPr>
        <w:t xml:space="preserve"> </w:t>
      </w:r>
    </w:p>
    <w:p w14:paraId="50F25D87" w14:textId="5C00A72A" w:rsidR="004A5189" w:rsidRPr="004A5189" w:rsidRDefault="004A5189" w:rsidP="004A5189">
      <w:pPr>
        <w:ind w:left="360"/>
        <w:jc w:val="both"/>
        <w:rPr>
          <w:color w:val="202020"/>
          <w:sz w:val="24"/>
          <w:szCs w:val="24"/>
          <w:shd w:val="clear" w:color="auto" w:fill="FFFFFF"/>
        </w:rPr>
      </w:pPr>
    </w:p>
    <w:p w14:paraId="1B0865A9" w14:textId="50370CC2" w:rsidR="00AF43B9" w:rsidRDefault="00534FD7" w:rsidP="00FE4D1E">
      <w:pPr>
        <w:pStyle w:val="Loendilik"/>
        <w:numPr>
          <w:ilvl w:val="0"/>
          <w:numId w:val="16"/>
        </w:numPr>
        <w:jc w:val="both"/>
        <w:rPr>
          <w:color w:val="202020"/>
          <w:sz w:val="24"/>
          <w:szCs w:val="24"/>
          <w:shd w:val="clear" w:color="auto" w:fill="FFFFFF"/>
        </w:rPr>
      </w:pPr>
      <w:r w:rsidRPr="004A5189">
        <w:rPr>
          <w:color w:val="202020"/>
          <w:sz w:val="24"/>
          <w:szCs w:val="24"/>
          <w:shd w:val="clear" w:color="auto" w:fill="FFFFFF"/>
        </w:rPr>
        <w:t xml:space="preserve">Vastavalt </w:t>
      </w:r>
      <w:proofErr w:type="spellStart"/>
      <w:r w:rsidRPr="004A5189">
        <w:rPr>
          <w:color w:val="202020"/>
          <w:sz w:val="24"/>
          <w:szCs w:val="24"/>
          <w:shd w:val="clear" w:color="auto" w:fill="FFFFFF"/>
        </w:rPr>
        <w:t>PankrS</w:t>
      </w:r>
      <w:proofErr w:type="spellEnd"/>
      <w:r w:rsidRPr="004A5189">
        <w:rPr>
          <w:color w:val="202020"/>
          <w:sz w:val="24"/>
          <w:szCs w:val="24"/>
          <w:shd w:val="clear" w:color="auto" w:fill="FFFFFF"/>
        </w:rPr>
        <w:t xml:space="preserve"> § 31 </w:t>
      </w:r>
      <w:proofErr w:type="spellStart"/>
      <w:r w:rsidRPr="004A5189">
        <w:rPr>
          <w:color w:val="202020"/>
          <w:sz w:val="24"/>
          <w:szCs w:val="24"/>
          <w:shd w:val="clear" w:color="auto" w:fill="FFFFFF"/>
        </w:rPr>
        <w:t>lg-le</w:t>
      </w:r>
      <w:proofErr w:type="spellEnd"/>
      <w:r w:rsidRPr="004A5189">
        <w:rPr>
          <w:color w:val="202020"/>
          <w:sz w:val="24"/>
          <w:szCs w:val="24"/>
          <w:shd w:val="clear" w:color="auto" w:fill="FFFFFF"/>
        </w:rPr>
        <w:t xml:space="preserve"> 1 kuulutab võlgniku pankroti välja kohus. Kohus hindab pankroti väljakuulutamisel kõiki vajalikke asjaolusid ning juhul, kui kohus leiab, et võlgnik ei ole pankrotiavalduses piisavalt põhistanud maksejõuetust, siis on kohtul alati õigus küsida võlgnikult täiendavat informatsiooni</w:t>
      </w:r>
      <w:r w:rsidR="00B52017">
        <w:rPr>
          <w:color w:val="202020"/>
          <w:sz w:val="24"/>
          <w:szCs w:val="24"/>
          <w:shd w:val="clear" w:color="auto" w:fill="FFFFFF"/>
        </w:rPr>
        <w:t>, samuti kehtib uurimisprintsiip.</w:t>
      </w:r>
    </w:p>
    <w:p w14:paraId="325544E6" w14:textId="77777777" w:rsidR="004A5189" w:rsidRPr="004A5189" w:rsidRDefault="004A5189" w:rsidP="004A5189">
      <w:pPr>
        <w:pStyle w:val="Loendilik"/>
        <w:rPr>
          <w:color w:val="202020"/>
          <w:sz w:val="24"/>
          <w:szCs w:val="24"/>
          <w:shd w:val="clear" w:color="auto" w:fill="FFFFFF"/>
        </w:rPr>
      </w:pPr>
    </w:p>
    <w:p w14:paraId="69F539CE" w14:textId="74AA0080" w:rsidR="00534FD7" w:rsidRDefault="00AF43B9" w:rsidP="00FE4D1E">
      <w:pPr>
        <w:pStyle w:val="Loendilik"/>
        <w:numPr>
          <w:ilvl w:val="0"/>
          <w:numId w:val="16"/>
        </w:numPr>
        <w:jc w:val="both"/>
        <w:rPr>
          <w:color w:val="202020"/>
          <w:sz w:val="24"/>
          <w:szCs w:val="24"/>
          <w:shd w:val="clear" w:color="auto" w:fill="FFFFFF"/>
        </w:rPr>
      </w:pPr>
      <w:r w:rsidRPr="004A5189">
        <w:rPr>
          <w:color w:val="202020"/>
          <w:sz w:val="24"/>
          <w:szCs w:val="24"/>
          <w:shd w:val="clear" w:color="auto" w:fill="FFFFFF"/>
        </w:rPr>
        <w:t xml:space="preserve">Võlgniku pankrotiavalduse eesmärgiks on tagada kohtule vajalik informatsioon võlgniku põhjendatud pankroti väljakuulutamiseks. Samas ei </w:t>
      </w:r>
      <w:r w:rsidR="001B67C9">
        <w:rPr>
          <w:color w:val="202020"/>
          <w:sz w:val="24"/>
          <w:szCs w:val="24"/>
          <w:shd w:val="clear" w:color="auto" w:fill="FFFFFF"/>
        </w:rPr>
        <w:t>ole alati vajalik</w:t>
      </w:r>
      <w:r w:rsidRPr="004A5189">
        <w:rPr>
          <w:color w:val="202020"/>
          <w:sz w:val="24"/>
          <w:szCs w:val="24"/>
          <w:shd w:val="clear" w:color="auto" w:fill="FFFFFF"/>
        </w:rPr>
        <w:t xml:space="preserve"> võlgnikku ega kohut liigselt koormata informatsiooniga pankroti väljakuulutamise staadiumi</w:t>
      </w:r>
      <w:r w:rsidR="001B67C9">
        <w:rPr>
          <w:color w:val="202020"/>
          <w:sz w:val="24"/>
          <w:szCs w:val="24"/>
          <w:shd w:val="clear" w:color="auto" w:fill="FFFFFF"/>
        </w:rPr>
        <w:t>s</w:t>
      </w:r>
      <w:r w:rsidRPr="004A5189">
        <w:rPr>
          <w:color w:val="202020"/>
          <w:sz w:val="24"/>
          <w:szCs w:val="24"/>
          <w:shd w:val="clear" w:color="auto" w:fill="FFFFFF"/>
        </w:rPr>
        <w:t>. Pankroti väljakuulutamisel ei pea olema veel kõik asjaolud</w:t>
      </w:r>
      <w:r w:rsidR="001B67C9">
        <w:rPr>
          <w:color w:val="202020"/>
          <w:sz w:val="24"/>
          <w:szCs w:val="24"/>
          <w:shd w:val="clear" w:color="auto" w:fill="FFFFFF"/>
        </w:rPr>
        <w:t xml:space="preserve"> ammendavalt</w:t>
      </w:r>
      <w:r w:rsidRPr="004A5189">
        <w:rPr>
          <w:color w:val="202020"/>
          <w:sz w:val="24"/>
          <w:szCs w:val="24"/>
          <w:shd w:val="clear" w:color="auto" w:fill="FFFFFF"/>
        </w:rPr>
        <w:t xml:space="preserve"> selged ja tuvastatud. Pankroti väljakuulutamisel peab kohus tuvastama võlgniku püsiva maksejõuetuse ja võlgniku pankrotiavalduse korral piisab pankrotiavalduses maksejõuetuse põhistamisest kehtiva </w:t>
      </w:r>
      <w:proofErr w:type="spellStart"/>
      <w:r w:rsidRPr="004A5189">
        <w:rPr>
          <w:color w:val="202020"/>
          <w:sz w:val="24"/>
          <w:szCs w:val="24"/>
          <w:shd w:val="clear" w:color="auto" w:fill="FFFFFF"/>
        </w:rPr>
        <w:t>PankrS</w:t>
      </w:r>
      <w:proofErr w:type="spellEnd"/>
      <w:r w:rsidRPr="004A5189">
        <w:rPr>
          <w:color w:val="202020"/>
          <w:sz w:val="24"/>
          <w:szCs w:val="24"/>
          <w:shd w:val="clear" w:color="auto" w:fill="FFFFFF"/>
        </w:rPr>
        <w:t xml:space="preserve"> § 13 järgi. Tulenevalt </w:t>
      </w:r>
      <w:proofErr w:type="spellStart"/>
      <w:r w:rsidRPr="004A5189">
        <w:rPr>
          <w:color w:val="202020"/>
          <w:sz w:val="24"/>
          <w:szCs w:val="24"/>
          <w:shd w:val="clear" w:color="auto" w:fill="FFFFFF"/>
        </w:rPr>
        <w:t>PankrS</w:t>
      </w:r>
      <w:proofErr w:type="spellEnd"/>
      <w:r w:rsidRPr="004A5189">
        <w:rPr>
          <w:color w:val="202020"/>
          <w:sz w:val="24"/>
          <w:szCs w:val="24"/>
          <w:shd w:val="clear" w:color="auto" w:fill="FFFFFF"/>
        </w:rPr>
        <w:t xml:space="preserve"> § 31 lg-test 3 ja 4 eeldatakse</w:t>
      </w:r>
      <w:r w:rsidR="004F63FF" w:rsidRPr="004A5189">
        <w:rPr>
          <w:color w:val="202020"/>
          <w:sz w:val="24"/>
          <w:szCs w:val="24"/>
          <w:shd w:val="clear" w:color="auto" w:fill="FFFFFF"/>
        </w:rPr>
        <w:t xml:space="preserve"> juriidilisest isikust võlgniku pankrotiavalduse alusel</w:t>
      </w:r>
      <w:r w:rsidRPr="004A5189">
        <w:rPr>
          <w:color w:val="202020"/>
          <w:sz w:val="24"/>
          <w:szCs w:val="24"/>
          <w:shd w:val="clear" w:color="auto" w:fill="FFFFFF"/>
        </w:rPr>
        <w:t xml:space="preserve">, et võlgnik on maksejõuetu ning võlgniku pankrot </w:t>
      </w:r>
      <w:r w:rsidR="004F63FF" w:rsidRPr="004A5189">
        <w:rPr>
          <w:color w:val="202020"/>
          <w:sz w:val="24"/>
          <w:szCs w:val="24"/>
          <w:shd w:val="clear" w:color="auto" w:fill="FFFFFF"/>
        </w:rPr>
        <w:t xml:space="preserve">kuulutatakse </w:t>
      </w:r>
      <w:r w:rsidRPr="004A5189">
        <w:rPr>
          <w:color w:val="202020"/>
          <w:sz w:val="24"/>
          <w:szCs w:val="24"/>
          <w:shd w:val="clear" w:color="auto" w:fill="FFFFFF"/>
        </w:rPr>
        <w:t>välja ka siis, kui võlgniku maksejõuetuse tekkimine tulevikus on tõenäoline</w:t>
      </w:r>
      <w:r w:rsidR="004F63FF" w:rsidRPr="004A5189">
        <w:rPr>
          <w:color w:val="202020"/>
          <w:sz w:val="24"/>
          <w:szCs w:val="24"/>
          <w:shd w:val="clear" w:color="auto" w:fill="FFFFFF"/>
        </w:rPr>
        <w:t>.</w:t>
      </w:r>
      <w:r w:rsidRPr="004A5189">
        <w:rPr>
          <w:color w:val="202020"/>
          <w:sz w:val="24"/>
          <w:szCs w:val="24"/>
          <w:shd w:val="clear" w:color="auto" w:fill="FFFFFF"/>
        </w:rPr>
        <w:t xml:space="preserve"> </w:t>
      </w:r>
    </w:p>
    <w:p w14:paraId="7E0C0B9D" w14:textId="77777777" w:rsidR="004A5189" w:rsidRPr="004A5189" w:rsidRDefault="004A5189" w:rsidP="004A5189">
      <w:pPr>
        <w:pStyle w:val="Loendilik"/>
        <w:rPr>
          <w:color w:val="202020"/>
          <w:sz w:val="24"/>
          <w:szCs w:val="24"/>
          <w:shd w:val="clear" w:color="auto" w:fill="FFFFFF"/>
        </w:rPr>
      </w:pPr>
    </w:p>
    <w:p w14:paraId="051403E2" w14:textId="0EDF1EB6" w:rsidR="00FE4D1E" w:rsidRDefault="004F63FF" w:rsidP="00FE4D1E">
      <w:pPr>
        <w:pStyle w:val="Loendilik"/>
        <w:numPr>
          <w:ilvl w:val="0"/>
          <w:numId w:val="16"/>
        </w:numPr>
        <w:jc w:val="both"/>
        <w:rPr>
          <w:color w:val="202020"/>
          <w:sz w:val="24"/>
          <w:szCs w:val="24"/>
          <w:shd w:val="clear" w:color="auto" w:fill="FFFFFF"/>
        </w:rPr>
      </w:pPr>
      <w:r w:rsidRPr="004A5189">
        <w:rPr>
          <w:color w:val="202020"/>
          <w:sz w:val="24"/>
          <w:szCs w:val="24"/>
          <w:shd w:val="clear" w:color="auto" w:fill="FFFFFF"/>
        </w:rPr>
        <w:t xml:space="preserve">Lähtuvalt eelnevast leiame, et puudub vajadus </w:t>
      </w:r>
      <w:proofErr w:type="spellStart"/>
      <w:r w:rsidRPr="004A5189">
        <w:rPr>
          <w:color w:val="202020"/>
          <w:sz w:val="24"/>
          <w:szCs w:val="24"/>
          <w:shd w:val="clear" w:color="auto" w:fill="FFFFFF"/>
        </w:rPr>
        <w:t>PankrS</w:t>
      </w:r>
      <w:proofErr w:type="spellEnd"/>
      <w:r w:rsidRPr="004A5189">
        <w:rPr>
          <w:color w:val="202020"/>
          <w:sz w:val="24"/>
          <w:szCs w:val="24"/>
          <w:shd w:val="clear" w:color="auto" w:fill="FFFFFF"/>
        </w:rPr>
        <w:t xml:space="preserve"> § 13 muutmiseks. </w:t>
      </w:r>
      <w:r w:rsidR="00534FD7" w:rsidRPr="004A5189">
        <w:rPr>
          <w:color w:val="202020"/>
          <w:sz w:val="24"/>
          <w:szCs w:val="24"/>
          <w:shd w:val="clear" w:color="auto" w:fill="FFFFFF"/>
        </w:rPr>
        <w:t xml:space="preserve">Veelgi enam, isegi juhul kui täiendada </w:t>
      </w:r>
      <w:proofErr w:type="spellStart"/>
      <w:r w:rsidR="00534FD7" w:rsidRPr="004A5189">
        <w:rPr>
          <w:color w:val="202020"/>
          <w:sz w:val="24"/>
          <w:szCs w:val="24"/>
          <w:shd w:val="clear" w:color="auto" w:fill="FFFFFF"/>
        </w:rPr>
        <w:t>PankrS</w:t>
      </w:r>
      <w:proofErr w:type="spellEnd"/>
      <w:r w:rsidR="00534FD7" w:rsidRPr="004A5189">
        <w:rPr>
          <w:color w:val="202020"/>
          <w:sz w:val="24"/>
          <w:szCs w:val="24"/>
          <w:shd w:val="clear" w:color="auto" w:fill="FFFFFF"/>
        </w:rPr>
        <w:t xml:space="preserve"> §-i 13 võlgniku kohustusega täpsustada  pankrotiavaldust ettepanekus toodud viisil, siis muudavad nimetatud muudatused võlgniku pankrotiavalduse esitamise veelgi raskemaks</w:t>
      </w:r>
      <w:r w:rsidR="009B348F">
        <w:rPr>
          <w:color w:val="202020"/>
          <w:sz w:val="24"/>
          <w:szCs w:val="24"/>
          <w:shd w:val="clear" w:color="auto" w:fill="FFFFFF"/>
        </w:rPr>
        <w:t xml:space="preserve"> ja keerulisemaks</w:t>
      </w:r>
      <w:r w:rsidR="00534FD7" w:rsidRPr="004A5189">
        <w:rPr>
          <w:color w:val="202020"/>
          <w:sz w:val="24"/>
          <w:szCs w:val="24"/>
          <w:shd w:val="clear" w:color="auto" w:fill="FFFFFF"/>
        </w:rPr>
        <w:t>, mis omakorda ei motiveeri võlgnik</w:t>
      </w:r>
      <w:r w:rsidR="00AF43B9" w:rsidRPr="004A5189">
        <w:rPr>
          <w:color w:val="202020"/>
          <w:sz w:val="24"/>
          <w:szCs w:val="24"/>
          <w:shd w:val="clear" w:color="auto" w:fill="FFFFFF"/>
        </w:rPr>
        <w:t>ku</w:t>
      </w:r>
      <w:r w:rsidR="00534FD7" w:rsidRPr="004A5189">
        <w:rPr>
          <w:color w:val="202020"/>
          <w:sz w:val="24"/>
          <w:szCs w:val="24"/>
          <w:shd w:val="clear" w:color="auto" w:fill="FFFFFF"/>
        </w:rPr>
        <w:t xml:space="preserve"> pankrotiavalduse </w:t>
      </w:r>
      <w:r w:rsidR="00AF43B9" w:rsidRPr="004A5189">
        <w:rPr>
          <w:color w:val="202020"/>
          <w:sz w:val="24"/>
          <w:szCs w:val="24"/>
          <w:shd w:val="clear" w:color="auto" w:fill="FFFFFF"/>
        </w:rPr>
        <w:t xml:space="preserve">õigeaegseks esitamiseks. </w:t>
      </w:r>
      <w:r w:rsidRPr="004A5189">
        <w:rPr>
          <w:color w:val="202020"/>
          <w:sz w:val="24"/>
          <w:szCs w:val="24"/>
          <w:shd w:val="clear" w:color="auto" w:fill="FFFFFF"/>
        </w:rPr>
        <w:t>Suure tõenäosusega vähendaks viidatud muudatus võlgniku õigeaegsete pankrotivalduste esitamist</w:t>
      </w:r>
      <w:r w:rsidR="009B348F">
        <w:rPr>
          <w:color w:val="202020"/>
          <w:sz w:val="24"/>
          <w:szCs w:val="24"/>
          <w:shd w:val="clear" w:color="auto" w:fill="FFFFFF"/>
        </w:rPr>
        <w:t xml:space="preserve"> veelgi</w:t>
      </w:r>
      <w:r w:rsidRPr="004A5189">
        <w:rPr>
          <w:color w:val="202020"/>
          <w:sz w:val="24"/>
          <w:szCs w:val="24"/>
          <w:shd w:val="clear" w:color="auto" w:fill="FFFFFF"/>
        </w:rPr>
        <w:t>, mis tooks omakorda kaasa raugemiste arvu suurenemise</w:t>
      </w:r>
      <w:r w:rsidR="009B348F">
        <w:rPr>
          <w:color w:val="202020"/>
          <w:sz w:val="24"/>
          <w:szCs w:val="24"/>
          <w:shd w:val="clear" w:color="auto" w:fill="FFFFFF"/>
        </w:rPr>
        <w:t xml:space="preserve">, olles omakorda vastuolus MJT loomise eesmärgiga – vältida </w:t>
      </w:r>
      <w:proofErr w:type="spellStart"/>
      <w:r w:rsidR="009B348F">
        <w:rPr>
          <w:color w:val="202020"/>
          <w:sz w:val="24"/>
          <w:szCs w:val="24"/>
          <w:shd w:val="clear" w:color="auto" w:fill="FFFFFF"/>
        </w:rPr>
        <w:t>suursi</w:t>
      </w:r>
      <w:proofErr w:type="spellEnd"/>
      <w:r w:rsidR="009B348F">
        <w:rPr>
          <w:color w:val="202020"/>
          <w:sz w:val="24"/>
          <w:szCs w:val="24"/>
          <w:shd w:val="clear" w:color="auto" w:fill="FFFFFF"/>
        </w:rPr>
        <w:t xml:space="preserve"> pankrotimenetluste raugemiste arvu.</w:t>
      </w:r>
    </w:p>
    <w:p w14:paraId="4B63CDFA" w14:textId="77777777" w:rsidR="004A5189" w:rsidRPr="004A5189" w:rsidRDefault="004A5189" w:rsidP="004A5189">
      <w:pPr>
        <w:pStyle w:val="Loendilik"/>
        <w:rPr>
          <w:color w:val="202020"/>
          <w:sz w:val="24"/>
          <w:szCs w:val="24"/>
          <w:shd w:val="clear" w:color="auto" w:fill="FFFFFF"/>
        </w:rPr>
      </w:pPr>
    </w:p>
    <w:p w14:paraId="0D2771EA" w14:textId="791E789F" w:rsidR="00337EC0" w:rsidRPr="004A5189" w:rsidRDefault="00337EC0" w:rsidP="00FE4D1E">
      <w:pPr>
        <w:pStyle w:val="Loendilik"/>
        <w:numPr>
          <w:ilvl w:val="0"/>
          <w:numId w:val="16"/>
        </w:numPr>
        <w:jc w:val="both"/>
        <w:rPr>
          <w:color w:val="202020"/>
          <w:sz w:val="24"/>
          <w:szCs w:val="24"/>
          <w:shd w:val="clear" w:color="auto" w:fill="FFFFFF"/>
        </w:rPr>
      </w:pPr>
      <w:r w:rsidRPr="004A5189">
        <w:rPr>
          <w:color w:val="202020"/>
          <w:sz w:val="24"/>
          <w:szCs w:val="24"/>
          <w:shd w:val="clear" w:color="auto" w:fill="FFFFFF"/>
        </w:rPr>
        <w:t xml:space="preserve">Kehtivas õiguses on piisavalt selgelt ja põhjalikult reguleerutud võlgniku pankrotivalduse koostamine, mistõttu ei toeta käesoleva arvamuse koostajad MJT </w:t>
      </w:r>
      <w:r w:rsidR="000016BD">
        <w:rPr>
          <w:color w:val="202020"/>
          <w:sz w:val="24"/>
          <w:szCs w:val="24"/>
          <w:shd w:val="clear" w:color="auto" w:fill="FFFFFF"/>
        </w:rPr>
        <w:t>esimest</w:t>
      </w:r>
      <w:r w:rsidRPr="004A5189">
        <w:rPr>
          <w:color w:val="202020"/>
          <w:sz w:val="24"/>
          <w:szCs w:val="24"/>
          <w:shd w:val="clear" w:color="auto" w:fill="FFFFFF"/>
        </w:rPr>
        <w:t xml:space="preserve"> ettepanekut.</w:t>
      </w:r>
    </w:p>
    <w:p w14:paraId="56941596" w14:textId="77777777" w:rsidR="00337EC0" w:rsidRPr="00FE4D1E" w:rsidRDefault="00337EC0" w:rsidP="00FE4D1E">
      <w:pPr>
        <w:jc w:val="both"/>
        <w:rPr>
          <w:bCs/>
          <w:sz w:val="24"/>
          <w:szCs w:val="24"/>
        </w:rPr>
      </w:pPr>
    </w:p>
    <w:p w14:paraId="3B395958" w14:textId="486DDDD6" w:rsidR="00FE4D1E" w:rsidRDefault="004F63FF" w:rsidP="00FE4D1E">
      <w:pPr>
        <w:pStyle w:val="Loendilik"/>
        <w:numPr>
          <w:ilvl w:val="0"/>
          <w:numId w:val="15"/>
        </w:numPr>
        <w:ind w:hanging="720"/>
        <w:jc w:val="both"/>
        <w:rPr>
          <w:b/>
          <w:sz w:val="24"/>
          <w:szCs w:val="24"/>
        </w:rPr>
      </w:pPr>
      <w:r>
        <w:rPr>
          <w:b/>
          <w:sz w:val="24"/>
          <w:szCs w:val="24"/>
        </w:rPr>
        <w:t>Varatu juriidilisest isikust võlgniku pankrotiavalduse menetluse muutmine</w:t>
      </w:r>
    </w:p>
    <w:p w14:paraId="2A887B40" w14:textId="0139573E" w:rsidR="004F63FF" w:rsidRDefault="004F63FF" w:rsidP="004F63FF">
      <w:pPr>
        <w:jc w:val="both"/>
        <w:rPr>
          <w:b/>
          <w:sz w:val="24"/>
          <w:szCs w:val="24"/>
        </w:rPr>
      </w:pPr>
    </w:p>
    <w:p w14:paraId="13B12133" w14:textId="0EAB8A0D" w:rsidR="009C427B" w:rsidRDefault="009C427B" w:rsidP="004A5189">
      <w:pPr>
        <w:pStyle w:val="Loendilik"/>
        <w:numPr>
          <w:ilvl w:val="0"/>
          <w:numId w:val="16"/>
        </w:numPr>
        <w:jc w:val="both"/>
        <w:rPr>
          <w:color w:val="202020"/>
          <w:sz w:val="24"/>
          <w:szCs w:val="24"/>
          <w:shd w:val="clear" w:color="auto" w:fill="FFFFFF"/>
        </w:rPr>
      </w:pPr>
      <w:r w:rsidRPr="004A5189">
        <w:rPr>
          <w:bCs/>
          <w:sz w:val="24"/>
          <w:szCs w:val="24"/>
        </w:rPr>
        <w:t xml:space="preserve">Vastavalt Põhiseaduse §-le 146 </w:t>
      </w:r>
      <w:r w:rsidRPr="004A5189">
        <w:rPr>
          <w:color w:val="202020"/>
          <w:sz w:val="24"/>
          <w:szCs w:val="24"/>
          <w:shd w:val="clear" w:color="auto" w:fill="FFFFFF"/>
        </w:rPr>
        <w:t xml:space="preserve">mõistab õigust ainult kohus. Kohus on oma tegevuses sõltumatu ja mõistab õigust kooskõlas põhiseaduse ja seadustega. Kuivõrd pankroti väljakuulutamine on õiguse mõistmine, siis toimub pankroti väljakuulutamise menetlus kohtumenetlusena, milles tuleb järgida õigusemõistmise põhimõtteid, sh põhiõiguste tagamine. Juhul, kui juriidilisest isikust võlgnik esitab pankrotiavalduse, siis </w:t>
      </w:r>
      <w:r w:rsidR="00E4164E" w:rsidRPr="004A5189">
        <w:rPr>
          <w:color w:val="202020"/>
          <w:sz w:val="24"/>
          <w:szCs w:val="24"/>
          <w:shd w:val="clear" w:color="auto" w:fill="FFFFFF"/>
        </w:rPr>
        <w:t xml:space="preserve">on nimetatud juriidilises isikul õigus õiglasele kohtumõistmisele pankrotiseaduse jt seaduste alusel. Võlgnikule tuleb tagada põhiõiguste kaitse, sh õiguse mõistmine kohtu poolt, mis tähendab, et võlgniku pankroti väljakuulutamiseks vaatab võlgniku pankrotiavalduse igal juhul läbi kohus. Kuivõrd kohus peab võlgniku pankroti väljakuulutamiseks vaatama läbi võlgniku pankrotiavalduse ja tuvastama võlgniku </w:t>
      </w:r>
      <w:r w:rsidR="00E4164E" w:rsidRPr="004A5189">
        <w:rPr>
          <w:color w:val="202020"/>
          <w:sz w:val="24"/>
          <w:szCs w:val="24"/>
          <w:shd w:val="clear" w:color="auto" w:fill="FFFFFF"/>
        </w:rPr>
        <w:lastRenderedPageBreak/>
        <w:t xml:space="preserve">püsiva maksejõuetuse, siis tuvastaks kohtumenetluses kõik asjaolud, mis on vajalikud võlgniku pankroti väljakuulutamiseks. </w:t>
      </w:r>
      <w:r w:rsidR="00337EC0" w:rsidRPr="004A5189">
        <w:rPr>
          <w:color w:val="202020"/>
          <w:sz w:val="24"/>
          <w:szCs w:val="24"/>
          <w:shd w:val="clear" w:color="auto" w:fill="FFFFFF"/>
        </w:rPr>
        <w:t xml:space="preserve">Arvestades, et kohtul on kohustus välja selgitada kõik vajalikud asjaolud, siis jääb arusaamatuks, kuidas </w:t>
      </w:r>
      <w:r w:rsidR="00005993">
        <w:rPr>
          <w:color w:val="202020"/>
          <w:sz w:val="24"/>
          <w:szCs w:val="24"/>
          <w:shd w:val="clear" w:color="auto" w:fill="FFFFFF"/>
        </w:rPr>
        <w:t>Maksu- ja Tolliamet (</w:t>
      </w:r>
      <w:r w:rsidR="00337EC0" w:rsidRPr="004A5189">
        <w:rPr>
          <w:color w:val="202020"/>
          <w:sz w:val="24"/>
          <w:szCs w:val="24"/>
          <w:shd w:val="clear" w:color="auto" w:fill="FFFFFF"/>
        </w:rPr>
        <w:t>EMTA</w:t>
      </w:r>
      <w:r w:rsidR="00005993">
        <w:rPr>
          <w:color w:val="202020"/>
          <w:sz w:val="24"/>
          <w:szCs w:val="24"/>
          <w:shd w:val="clear" w:color="auto" w:fill="FFFFFF"/>
        </w:rPr>
        <w:t>)</w:t>
      </w:r>
      <w:r w:rsidR="00337EC0" w:rsidRPr="004A5189">
        <w:rPr>
          <w:color w:val="202020"/>
          <w:sz w:val="24"/>
          <w:szCs w:val="24"/>
          <w:shd w:val="clear" w:color="auto" w:fill="FFFFFF"/>
        </w:rPr>
        <w:t xml:space="preserve"> ja/või MJT eelnev võlgniku pankrotiavalduse menetlemine aitab kaasa kohtumenetlusele. </w:t>
      </w:r>
      <w:r w:rsidR="00005993">
        <w:rPr>
          <w:color w:val="202020"/>
          <w:sz w:val="24"/>
          <w:szCs w:val="24"/>
          <w:shd w:val="clear" w:color="auto" w:fill="FFFFFF"/>
        </w:rPr>
        <w:t>Lisaks võib tekkida huvide konflikt, kuna enamuse juriidiliste isikute puhul on EMTA võlgniku võlausaldajaks.</w:t>
      </w:r>
    </w:p>
    <w:p w14:paraId="2A43864B" w14:textId="20A0707F" w:rsidR="004A5189" w:rsidRPr="004A5189" w:rsidRDefault="004A5189" w:rsidP="004A5189">
      <w:pPr>
        <w:pStyle w:val="Loendilik"/>
        <w:jc w:val="both"/>
        <w:rPr>
          <w:color w:val="202020"/>
          <w:sz w:val="24"/>
          <w:szCs w:val="24"/>
          <w:shd w:val="clear" w:color="auto" w:fill="FFFFFF"/>
        </w:rPr>
      </w:pPr>
    </w:p>
    <w:p w14:paraId="519D60BC" w14:textId="67CBF027" w:rsidR="009C427B" w:rsidRDefault="00337EC0" w:rsidP="004F63FF">
      <w:pPr>
        <w:pStyle w:val="Loendilik"/>
        <w:numPr>
          <w:ilvl w:val="0"/>
          <w:numId w:val="16"/>
        </w:numPr>
        <w:jc w:val="both"/>
        <w:rPr>
          <w:color w:val="202020"/>
          <w:sz w:val="24"/>
          <w:szCs w:val="24"/>
          <w:shd w:val="clear" w:color="auto" w:fill="FFFFFF"/>
        </w:rPr>
      </w:pPr>
      <w:r w:rsidRPr="004A5189">
        <w:rPr>
          <w:color w:val="202020"/>
          <w:sz w:val="24"/>
          <w:szCs w:val="24"/>
          <w:shd w:val="clear" w:color="auto" w:fill="FFFFFF"/>
        </w:rPr>
        <w:t xml:space="preserve">Samuti on mõiste „varatu juriidilisest isikust võlgnik“ ebamäärane. Mis hetkest muutub võlgnik varatuks? Kas võlgniku peab vara püüdma või piisab kui võlgnikul on ainult väheväärtuslik vara? Kas vara määratlemisel võetakse arvesse kohustusi? Kui suur peab olema võlgniku vara, et võlgnik ei oleks varatu? Ühtlasi on ebaselge, kes määratleb nimetatud mõiste. Lõpuks peab ikkagi kohus otsustama, kas võlgnik on püsivalt maksejõuetu või mitte. </w:t>
      </w:r>
    </w:p>
    <w:p w14:paraId="546D3486" w14:textId="77777777" w:rsidR="004A5189" w:rsidRPr="004A5189" w:rsidRDefault="004A5189" w:rsidP="004A5189">
      <w:pPr>
        <w:pStyle w:val="Loendilik"/>
        <w:rPr>
          <w:color w:val="202020"/>
          <w:sz w:val="24"/>
          <w:szCs w:val="24"/>
          <w:shd w:val="clear" w:color="auto" w:fill="FFFFFF"/>
        </w:rPr>
      </w:pPr>
    </w:p>
    <w:p w14:paraId="0EA71AAE" w14:textId="2004405E" w:rsidR="00337EC0" w:rsidRPr="004A5189" w:rsidRDefault="00337EC0" w:rsidP="004F63FF">
      <w:pPr>
        <w:pStyle w:val="Loendilik"/>
        <w:numPr>
          <w:ilvl w:val="0"/>
          <w:numId w:val="16"/>
        </w:numPr>
        <w:jc w:val="both"/>
        <w:rPr>
          <w:color w:val="202020"/>
          <w:sz w:val="24"/>
          <w:szCs w:val="24"/>
          <w:shd w:val="clear" w:color="auto" w:fill="FFFFFF"/>
        </w:rPr>
      </w:pPr>
      <w:r w:rsidRPr="004A5189">
        <w:rPr>
          <w:color w:val="202020"/>
          <w:sz w:val="24"/>
          <w:szCs w:val="24"/>
          <w:shd w:val="clear" w:color="auto" w:fill="FFFFFF"/>
        </w:rPr>
        <w:t xml:space="preserve">Käesolevaga leiame, et MJT poolt tehtud ettepanek pankrotiavalduse </w:t>
      </w:r>
      <w:proofErr w:type="spellStart"/>
      <w:r w:rsidRPr="004A5189">
        <w:rPr>
          <w:color w:val="202020"/>
          <w:sz w:val="24"/>
          <w:szCs w:val="24"/>
          <w:shd w:val="clear" w:color="auto" w:fill="FFFFFF"/>
        </w:rPr>
        <w:t>menetlejate</w:t>
      </w:r>
      <w:proofErr w:type="spellEnd"/>
      <w:r w:rsidRPr="004A5189">
        <w:rPr>
          <w:color w:val="202020"/>
          <w:sz w:val="24"/>
          <w:szCs w:val="24"/>
          <w:shd w:val="clear" w:color="auto" w:fill="FFFFFF"/>
        </w:rPr>
        <w:t xml:space="preserve"> ringi ja  menetluse muutmiseks ei aita kuidagi kaasa efektiivsema pankrotimenetluse läbiviimiseks,  mistõttu ei toeta arvamuse koostajad MJT </w:t>
      </w:r>
      <w:r w:rsidR="000016BD">
        <w:rPr>
          <w:color w:val="202020"/>
          <w:sz w:val="24"/>
          <w:szCs w:val="24"/>
          <w:shd w:val="clear" w:color="auto" w:fill="FFFFFF"/>
        </w:rPr>
        <w:t>teist</w:t>
      </w:r>
      <w:r w:rsidRPr="004A5189">
        <w:rPr>
          <w:color w:val="202020"/>
          <w:sz w:val="24"/>
          <w:szCs w:val="24"/>
          <w:shd w:val="clear" w:color="auto" w:fill="FFFFFF"/>
        </w:rPr>
        <w:t xml:space="preserve"> ettepanekut.</w:t>
      </w:r>
    </w:p>
    <w:p w14:paraId="3F9BA91E" w14:textId="77777777" w:rsidR="004F63FF" w:rsidRPr="004F63FF" w:rsidRDefault="004F63FF" w:rsidP="004F63FF">
      <w:pPr>
        <w:jc w:val="both"/>
        <w:rPr>
          <w:b/>
          <w:sz w:val="24"/>
          <w:szCs w:val="24"/>
        </w:rPr>
      </w:pPr>
    </w:p>
    <w:p w14:paraId="1A1A6886" w14:textId="62934FEB" w:rsidR="004F63FF" w:rsidRDefault="00337EC0" w:rsidP="00FE4D1E">
      <w:pPr>
        <w:pStyle w:val="Loendilik"/>
        <w:numPr>
          <w:ilvl w:val="0"/>
          <w:numId w:val="15"/>
        </w:numPr>
        <w:ind w:hanging="720"/>
        <w:jc w:val="both"/>
        <w:rPr>
          <w:b/>
          <w:sz w:val="24"/>
          <w:szCs w:val="24"/>
        </w:rPr>
      </w:pPr>
      <w:r>
        <w:rPr>
          <w:b/>
          <w:sz w:val="24"/>
          <w:szCs w:val="24"/>
        </w:rPr>
        <w:t>Ärikeelu kohaldamise muutmine</w:t>
      </w:r>
    </w:p>
    <w:p w14:paraId="3FA5E97A" w14:textId="7BBB846E" w:rsidR="00337EC0" w:rsidRDefault="00337EC0" w:rsidP="00337EC0">
      <w:pPr>
        <w:jc w:val="both"/>
        <w:rPr>
          <w:b/>
          <w:sz w:val="24"/>
          <w:szCs w:val="24"/>
        </w:rPr>
      </w:pPr>
    </w:p>
    <w:p w14:paraId="5A59B6CB" w14:textId="2301DDDC" w:rsidR="004A5189" w:rsidRDefault="00657D08" w:rsidP="004A5189">
      <w:pPr>
        <w:pStyle w:val="Loendilik"/>
        <w:numPr>
          <w:ilvl w:val="0"/>
          <w:numId w:val="16"/>
        </w:numPr>
        <w:jc w:val="both"/>
        <w:rPr>
          <w:color w:val="000000" w:themeColor="text1"/>
          <w:sz w:val="24"/>
          <w:szCs w:val="24"/>
          <w:shd w:val="clear" w:color="auto" w:fill="FFFFFF"/>
        </w:rPr>
      </w:pPr>
      <w:r w:rsidRPr="004A5189">
        <w:rPr>
          <w:bCs/>
          <w:color w:val="000000" w:themeColor="text1"/>
          <w:sz w:val="24"/>
          <w:szCs w:val="24"/>
        </w:rPr>
        <w:t xml:space="preserve">Ärikeelu kohaldamisel riivatakse olulisel määral isiku </w:t>
      </w:r>
      <w:proofErr w:type="spellStart"/>
      <w:r w:rsidRPr="004A5189">
        <w:rPr>
          <w:bCs/>
          <w:color w:val="000000" w:themeColor="text1"/>
          <w:sz w:val="24"/>
          <w:szCs w:val="24"/>
        </w:rPr>
        <w:t>põhiõigusei</w:t>
      </w:r>
      <w:proofErr w:type="spellEnd"/>
      <w:r w:rsidR="000016BD">
        <w:rPr>
          <w:bCs/>
          <w:color w:val="000000" w:themeColor="text1"/>
          <w:sz w:val="24"/>
          <w:szCs w:val="24"/>
        </w:rPr>
        <w:t>.</w:t>
      </w:r>
      <w:r>
        <w:rPr>
          <w:rStyle w:val="Allmrkuseviide"/>
          <w:color w:val="000000" w:themeColor="text1"/>
          <w:sz w:val="24"/>
          <w:szCs w:val="24"/>
          <w:shd w:val="clear" w:color="auto" w:fill="FFFFFF"/>
        </w:rPr>
        <w:footnoteReference w:id="6"/>
      </w:r>
      <w:r w:rsidRPr="004A5189">
        <w:rPr>
          <w:bCs/>
          <w:color w:val="000000" w:themeColor="text1"/>
          <w:sz w:val="24"/>
          <w:szCs w:val="24"/>
        </w:rPr>
        <w:t xml:space="preserve"> Samuti on Riigikohus leidnud, et </w:t>
      </w:r>
      <w:r w:rsidRPr="004A5189">
        <w:rPr>
          <w:color w:val="000000" w:themeColor="text1"/>
          <w:sz w:val="24"/>
          <w:szCs w:val="24"/>
          <w:shd w:val="clear" w:color="auto" w:fill="FFFFFF"/>
        </w:rPr>
        <w:t xml:space="preserve">ärikeelu kohaldamine on olemuslikult sarnane </w:t>
      </w:r>
      <w:proofErr w:type="spellStart"/>
      <w:r w:rsidR="000D285C">
        <w:rPr>
          <w:color w:val="000000" w:themeColor="text1"/>
          <w:sz w:val="24"/>
          <w:szCs w:val="24"/>
          <w:shd w:val="clear" w:color="auto" w:fill="FFFFFF"/>
        </w:rPr>
        <w:t>KarS</w:t>
      </w:r>
      <w:proofErr w:type="spellEnd"/>
      <w:r w:rsidRPr="004A5189">
        <w:rPr>
          <w:color w:val="000000" w:themeColor="text1"/>
          <w:sz w:val="24"/>
          <w:szCs w:val="24"/>
          <w:shd w:val="clear" w:color="auto" w:fill="FFFFFF"/>
        </w:rPr>
        <w:t xml:space="preserve"> §-des 49 ja 49</w:t>
      </w:r>
      <w:r w:rsidRPr="004A5189">
        <w:rPr>
          <w:color w:val="000000" w:themeColor="text1"/>
          <w:sz w:val="24"/>
          <w:szCs w:val="24"/>
          <w:vertAlign w:val="superscript"/>
        </w:rPr>
        <w:t>1</w:t>
      </w:r>
      <w:r w:rsidRPr="004A5189">
        <w:rPr>
          <w:color w:val="000000" w:themeColor="text1"/>
          <w:sz w:val="24"/>
          <w:szCs w:val="24"/>
          <w:shd w:val="clear" w:color="auto" w:fill="FFFFFF"/>
        </w:rPr>
        <w:t xml:space="preserve"> sisalduvate sanktsioonidega.</w:t>
      </w:r>
      <w:r w:rsidRPr="00657D08">
        <w:rPr>
          <w:rStyle w:val="Allmrkuseviide"/>
          <w:color w:val="000000" w:themeColor="text1"/>
          <w:sz w:val="24"/>
          <w:szCs w:val="24"/>
          <w:shd w:val="clear" w:color="auto" w:fill="FFFFFF"/>
        </w:rPr>
        <w:footnoteReference w:id="7"/>
      </w:r>
      <w:r w:rsidRPr="004A5189">
        <w:rPr>
          <w:color w:val="000000" w:themeColor="text1"/>
          <w:sz w:val="24"/>
          <w:szCs w:val="24"/>
          <w:shd w:val="clear" w:color="auto" w:fill="FFFFFF"/>
        </w:rPr>
        <w:t xml:space="preserve"> Riigikohus on asunud seisukohale, et </w:t>
      </w:r>
      <w:proofErr w:type="spellStart"/>
      <w:r w:rsidRPr="004A5189">
        <w:rPr>
          <w:color w:val="000000" w:themeColor="text1"/>
          <w:sz w:val="24"/>
          <w:szCs w:val="24"/>
          <w:shd w:val="clear" w:color="auto" w:fill="FFFFFF"/>
        </w:rPr>
        <w:t>PankrS</w:t>
      </w:r>
      <w:proofErr w:type="spellEnd"/>
      <w:r w:rsidRPr="004A5189">
        <w:rPr>
          <w:color w:val="000000" w:themeColor="text1"/>
          <w:sz w:val="24"/>
          <w:szCs w:val="24"/>
          <w:shd w:val="clear" w:color="auto" w:fill="FFFFFF"/>
        </w:rPr>
        <w:t xml:space="preserve"> § 91 lg 2 alusel saab ärikeeldu kohaldada üksnes isiku suhtes, kes on pannud pankrotistunud juriidilist isikut juhtides suure tõenäosusega toime kuriteo, kuid keda ei ole selle eest veel süüdi tunnistatud (põhjendatud kuriteokahtlus) ning kelle puhul on tõsine oht, et ta võib ärikeelu kohaldamata jätmisel toime panna uusi sarnaseid kuritegusid.</w:t>
      </w:r>
      <w:r w:rsidRPr="00657D08">
        <w:rPr>
          <w:rStyle w:val="Allmrkuseviide"/>
          <w:color w:val="000000" w:themeColor="text1"/>
          <w:sz w:val="24"/>
          <w:szCs w:val="24"/>
          <w:shd w:val="clear" w:color="auto" w:fill="FFFFFF"/>
        </w:rPr>
        <w:footnoteReference w:id="8"/>
      </w:r>
      <w:r w:rsidRPr="004A5189">
        <w:rPr>
          <w:color w:val="000000" w:themeColor="text1"/>
          <w:sz w:val="24"/>
          <w:szCs w:val="24"/>
          <w:shd w:val="clear" w:color="auto" w:fill="FFFFFF"/>
        </w:rPr>
        <w:t xml:space="preserve"> Seega on ärikeelu kohaldamine pankrotiseaduse alusel kohtu diskretsioonotsus. </w:t>
      </w:r>
    </w:p>
    <w:p w14:paraId="76812C35" w14:textId="08003D1C" w:rsidR="004A5189" w:rsidRPr="004A5189" w:rsidRDefault="004A5189" w:rsidP="004A5189">
      <w:pPr>
        <w:pStyle w:val="Loendilik"/>
        <w:jc w:val="both"/>
        <w:rPr>
          <w:color w:val="000000" w:themeColor="text1"/>
          <w:sz w:val="24"/>
          <w:szCs w:val="24"/>
          <w:shd w:val="clear" w:color="auto" w:fill="FFFFFF"/>
        </w:rPr>
      </w:pPr>
    </w:p>
    <w:p w14:paraId="5431D47B" w14:textId="22101029" w:rsidR="00657D08" w:rsidRPr="004A5189" w:rsidRDefault="00657D08" w:rsidP="00337EC0">
      <w:pPr>
        <w:pStyle w:val="Loendilik"/>
        <w:numPr>
          <w:ilvl w:val="0"/>
          <w:numId w:val="16"/>
        </w:numPr>
        <w:jc w:val="both"/>
        <w:rPr>
          <w:color w:val="000000" w:themeColor="text1"/>
          <w:sz w:val="24"/>
          <w:szCs w:val="24"/>
          <w:shd w:val="clear" w:color="auto" w:fill="FFFFFF"/>
        </w:rPr>
      </w:pPr>
      <w:r w:rsidRPr="004A5189">
        <w:rPr>
          <w:color w:val="000000" w:themeColor="text1"/>
          <w:sz w:val="24"/>
          <w:szCs w:val="24"/>
          <w:shd w:val="clear" w:color="auto" w:fill="FFFFFF"/>
        </w:rPr>
        <w:t xml:space="preserve">Arvestades, et ärikeelu kohaldamisel on tegemist isiku põhiõiguste olulise riivega, </w:t>
      </w:r>
      <w:r w:rsidR="004A5189" w:rsidRPr="004A5189">
        <w:rPr>
          <w:color w:val="000000" w:themeColor="text1"/>
          <w:sz w:val="24"/>
          <w:szCs w:val="24"/>
          <w:shd w:val="clear" w:color="auto" w:fill="FFFFFF"/>
        </w:rPr>
        <w:t xml:space="preserve">mistõttu </w:t>
      </w:r>
      <w:r w:rsidRPr="004A5189">
        <w:rPr>
          <w:color w:val="000000" w:themeColor="text1"/>
          <w:sz w:val="24"/>
          <w:szCs w:val="24"/>
          <w:shd w:val="clear" w:color="auto" w:fill="FFFFFF"/>
        </w:rPr>
        <w:t>pea</w:t>
      </w:r>
      <w:r w:rsidR="004A5189" w:rsidRPr="004A5189">
        <w:rPr>
          <w:color w:val="000000" w:themeColor="text1"/>
          <w:sz w:val="24"/>
          <w:szCs w:val="24"/>
          <w:shd w:val="clear" w:color="auto" w:fill="FFFFFF"/>
        </w:rPr>
        <w:t>b</w:t>
      </w:r>
      <w:r w:rsidRPr="004A5189">
        <w:rPr>
          <w:color w:val="000000" w:themeColor="text1"/>
          <w:sz w:val="24"/>
          <w:szCs w:val="24"/>
          <w:shd w:val="clear" w:color="auto" w:fill="FFFFFF"/>
        </w:rPr>
        <w:t xml:space="preserve"> olema tagatud isikuõiguste kaitse</w:t>
      </w:r>
      <w:r w:rsidR="004A5189" w:rsidRPr="004A5189">
        <w:rPr>
          <w:color w:val="000000" w:themeColor="text1"/>
          <w:sz w:val="24"/>
          <w:szCs w:val="24"/>
          <w:shd w:val="clear" w:color="auto" w:fill="FFFFFF"/>
        </w:rPr>
        <w:t xml:space="preserve"> ning muud eelpool viidatud menetluslikud küsimused, siis ei toeta </w:t>
      </w:r>
      <w:r w:rsidR="004A5189" w:rsidRPr="004A5189">
        <w:rPr>
          <w:color w:val="202020"/>
          <w:sz w:val="24"/>
          <w:szCs w:val="24"/>
          <w:shd w:val="clear" w:color="auto" w:fill="FFFFFF"/>
        </w:rPr>
        <w:t xml:space="preserve">arvamuse koostajad MJT </w:t>
      </w:r>
      <w:r w:rsidR="000D285C">
        <w:rPr>
          <w:color w:val="202020"/>
          <w:sz w:val="24"/>
          <w:szCs w:val="24"/>
          <w:shd w:val="clear" w:color="auto" w:fill="FFFFFF"/>
        </w:rPr>
        <w:t>kolmandat</w:t>
      </w:r>
      <w:r w:rsidR="004A5189" w:rsidRPr="004A5189">
        <w:rPr>
          <w:color w:val="202020"/>
          <w:sz w:val="24"/>
          <w:szCs w:val="24"/>
          <w:shd w:val="clear" w:color="auto" w:fill="FFFFFF"/>
        </w:rPr>
        <w:t xml:space="preserve"> ettepanekut</w:t>
      </w:r>
      <w:r w:rsidRPr="004A5189">
        <w:rPr>
          <w:color w:val="000000" w:themeColor="text1"/>
          <w:sz w:val="24"/>
          <w:szCs w:val="24"/>
          <w:shd w:val="clear" w:color="auto" w:fill="FFFFFF"/>
        </w:rPr>
        <w:t xml:space="preserve">. </w:t>
      </w:r>
    </w:p>
    <w:p w14:paraId="475B7F9D" w14:textId="77777777" w:rsidR="00337EC0" w:rsidRPr="00337EC0" w:rsidRDefault="00337EC0" w:rsidP="00337EC0">
      <w:pPr>
        <w:jc w:val="both"/>
        <w:rPr>
          <w:b/>
          <w:sz w:val="24"/>
          <w:szCs w:val="24"/>
        </w:rPr>
      </w:pPr>
    </w:p>
    <w:p w14:paraId="7396243D" w14:textId="3E15BA27" w:rsidR="00337EC0" w:rsidRDefault="004A5189" w:rsidP="00FE4D1E">
      <w:pPr>
        <w:pStyle w:val="Loendilik"/>
        <w:numPr>
          <w:ilvl w:val="0"/>
          <w:numId w:val="15"/>
        </w:numPr>
        <w:ind w:hanging="720"/>
        <w:jc w:val="both"/>
        <w:rPr>
          <w:b/>
          <w:sz w:val="24"/>
          <w:szCs w:val="24"/>
        </w:rPr>
      </w:pPr>
      <w:r>
        <w:rPr>
          <w:b/>
          <w:sz w:val="24"/>
          <w:szCs w:val="24"/>
        </w:rPr>
        <w:t>Tunnistada kehtetuks kõik sätted, mille kohaselt allub MJT tsiviilkohtule</w:t>
      </w:r>
    </w:p>
    <w:p w14:paraId="777A2DB8" w14:textId="385AE33B" w:rsidR="004F63FF" w:rsidRPr="004A5189" w:rsidRDefault="004F63FF" w:rsidP="004F63FF">
      <w:pPr>
        <w:jc w:val="both"/>
        <w:rPr>
          <w:bCs/>
          <w:sz w:val="24"/>
          <w:szCs w:val="24"/>
        </w:rPr>
      </w:pPr>
    </w:p>
    <w:p w14:paraId="79873339" w14:textId="6B42CA44" w:rsidR="006413CB" w:rsidRDefault="00AA3030" w:rsidP="00EB0EA7">
      <w:pPr>
        <w:pStyle w:val="Loendilik"/>
        <w:numPr>
          <w:ilvl w:val="0"/>
          <w:numId w:val="16"/>
        </w:numPr>
        <w:jc w:val="both"/>
        <w:rPr>
          <w:bCs/>
          <w:sz w:val="24"/>
          <w:szCs w:val="24"/>
        </w:rPr>
      </w:pPr>
      <w:r>
        <w:rPr>
          <w:bCs/>
          <w:sz w:val="24"/>
          <w:szCs w:val="24"/>
        </w:rPr>
        <w:t xml:space="preserve">Kõigepealt peame vajalikuks rõhutada, et MJT ei allu tsiviilkohtule. </w:t>
      </w:r>
      <w:r w:rsidR="003851E5" w:rsidRPr="000D63B3">
        <w:rPr>
          <w:bCs/>
          <w:sz w:val="24"/>
          <w:szCs w:val="24"/>
        </w:rPr>
        <w:t xml:space="preserve">Vastavalt </w:t>
      </w:r>
      <w:proofErr w:type="spellStart"/>
      <w:r w:rsidR="000D285C">
        <w:rPr>
          <w:bCs/>
          <w:sz w:val="24"/>
          <w:szCs w:val="24"/>
        </w:rPr>
        <w:t>PankrS</w:t>
      </w:r>
      <w:proofErr w:type="spellEnd"/>
      <w:r w:rsidR="000D285C">
        <w:rPr>
          <w:bCs/>
          <w:sz w:val="24"/>
          <w:szCs w:val="24"/>
        </w:rPr>
        <w:t xml:space="preserve"> </w:t>
      </w:r>
      <w:r w:rsidR="006413CB" w:rsidRPr="000D63B3">
        <w:rPr>
          <w:bCs/>
          <w:sz w:val="24"/>
          <w:szCs w:val="24"/>
        </w:rPr>
        <w:t>§ 192</w:t>
      </w:r>
      <w:r w:rsidR="006413CB" w:rsidRPr="000D63B3">
        <w:rPr>
          <w:bCs/>
          <w:sz w:val="24"/>
          <w:szCs w:val="24"/>
          <w:vertAlign w:val="superscript"/>
        </w:rPr>
        <w:t>1</w:t>
      </w:r>
      <w:r w:rsidR="006413CB" w:rsidRPr="000D63B3">
        <w:rPr>
          <w:bCs/>
          <w:sz w:val="24"/>
          <w:szCs w:val="24"/>
        </w:rPr>
        <w:t xml:space="preserve"> </w:t>
      </w:r>
      <w:proofErr w:type="spellStart"/>
      <w:r w:rsidR="006413CB" w:rsidRPr="000D63B3">
        <w:rPr>
          <w:bCs/>
          <w:sz w:val="24"/>
          <w:szCs w:val="24"/>
        </w:rPr>
        <w:t>lg-le</w:t>
      </w:r>
      <w:proofErr w:type="spellEnd"/>
      <w:r w:rsidR="006413CB" w:rsidRPr="000D63B3">
        <w:rPr>
          <w:bCs/>
          <w:sz w:val="24"/>
          <w:szCs w:val="24"/>
        </w:rPr>
        <w:t xml:space="preserve"> 4 ja </w:t>
      </w:r>
      <w:r w:rsidR="003851E5" w:rsidRPr="000D63B3">
        <w:rPr>
          <w:bCs/>
          <w:sz w:val="24"/>
          <w:szCs w:val="24"/>
        </w:rPr>
        <w:t>§ 192</w:t>
      </w:r>
      <w:r w:rsidR="003851E5" w:rsidRPr="000D63B3">
        <w:rPr>
          <w:bCs/>
          <w:sz w:val="24"/>
          <w:szCs w:val="24"/>
          <w:vertAlign w:val="superscript"/>
        </w:rPr>
        <w:t>2</w:t>
      </w:r>
      <w:r w:rsidR="003851E5" w:rsidRPr="000D63B3">
        <w:rPr>
          <w:bCs/>
          <w:sz w:val="24"/>
          <w:szCs w:val="24"/>
        </w:rPr>
        <w:t xml:space="preserve"> </w:t>
      </w:r>
      <w:proofErr w:type="spellStart"/>
      <w:r w:rsidR="003851E5" w:rsidRPr="000D63B3">
        <w:rPr>
          <w:bCs/>
          <w:sz w:val="24"/>
          <w:szCs w:val="24"/>
        </w:rPr>
        <w:t>lg-le</w:t>
      </w:r>
      <w:proofErr w:type="spellEnd"/>
      <w:r w:rsidR="003851E5" w:rsidRPr="000D63B3">
        <w:rPr>
          <w:bCs/>
          <w:sz w:val="24"/>
          <w:szCs w:val="24"/>
        </w:rPr>
        <w:t xml:space="preserve"> 1 on MJT Konkurentsiameti juures sõltumatu struktuuriüksus</w:t>
      </w:r>
      <w:r w:rsidR="006413CB" w:rsidRPr="000D63B3">
        <w:rPr>
          <w:bCs/>
          <w:sz w:val="24"/>
          <w:szCs w:val="24"/>
        </w:rPr>
        <w:t>, mis on oma tegevuses sõltumatu</w:t>
      </w:r>
      <w:r w:rsidR="003851E5" w:rsidRPr="000D63B3">
        <w:rPr>
          <w:bCs/>
          <w:sz w:val="24"/>
          <w:szCs w:val="24"/>
        </w:rPr>
        <w:t>. Nimetatud normi</w:t>
      </w:r>
      <w:r w:rsidR="006413CB" w:rsidRPr="000D63B3">
        <w:rPr>
          <w:bCs/>
          <w:sz w:val="24"/>
          <w:szCs w:val="24"/>
        </w:rPr>
        <w:t>de</w:t>
      </w:r>
      <w:r w:rsidR="003851E5" w:rsidRPr="000D63B3">
        <w:rPr>
          <w:bCs/>
          <w:sz w:val="24"/>
          <w:szCs w:val="24"/>
        </w:rPr>
        <w:t xml:space="preserve"> kohaselt ei allu MJT tsiviilkohtu</w:t>
      </w:r>
      <w:r w:rsidR="00822ED7" w:rsidRPr="000D63B3">
        <w:rPr>
          <w:bCs/>
          <w:sz w:val="24"/>
          <w:szCs w:val="24"/>
        </w:rPr>
        <w:t xml:space="preserve"> järelevalvele</w:t>
      </w:r>
      <w:r w:rsidR="003851E5" w:rsidRPr="000D63B3">
        <w:rPr>
          <w:bCs/>
          <w:sz w:val="24"/>
          <w:szCs w:val="24"/>
        </w:rPr>
        <w:t xml:space="preserve">. </w:t>
      </w:r>
      <w:r w:rsidR="00822ED7" w:rsidRPr="000D63B3">
        <w:rPr>
          <w:bCs/>
          <w:sz w:val="24"/>
          <w:szCs w:val="24"/>
        </w:rPr>
        <w:t>Vastupidi</w:t>
      </w:r>
      <w:r w:rsidR="00F11E29" w:rsidRPr="000D63B3">
        <w:rPr>
          <w:bCs/>
          <w:sz w:val="24"/>
          <w:szCs w:val="24"/>
        </w:rPr>
        <w:t xml:space="preserve">, </w:t>
      </w:r>
      <w:r w:rsidR="00822ED7" w:rsidRPr="000D63B3">
        <w:rPr>
          <w:bCs/>
          <w:sz w:val="24"/>
          <w:szCs w:val="24"/>
        </w:rPr>
        <w:t>kõikides küsimustes</w:t>
      </w:r>
      <w:r w:rsidR="006413CB" w:rsidRPr="000D63B3">
        <w:rPr>
          <w:bCs/>
          <w:sz w:val="24"/>
          <w:szCs w:val="24"/>
        </w:rPr>
        <w:t xml:space="preserve"> on </w:t>
      </w:r>
      <w:r w:rsidR="00822ED7" w:rsidRPr="000D63B3">
        <w:rPr>
          <w:bCs/>
          <w:sz w:val="24"/>
          <w:szCs w:val="24"/>
        </w:rPr>
        <w:t xml:space="preserve">MJT iseseisev. Seega </w:t>
      </w:r>
      <w:r w:rsidR="006413CB" w:rsidRPr="000D63B3">
        <w:rPr>
          <w:bCs/>
          <w:sz w:val="24"/>
          <w:szCs w:val="24"/>
        </w:rPr>
        <w:t xml:space="preserve">ei pea </w:t>
      </w:r>
      <w:r w:rsidR="00822ED7" w:rsidRPr="000D63B3">
        <w:rPr>
          <w:bCs/>
          <w:sz w:val="24"/>
          <w:szCs w:val="24"/>
        </w:rPr>
        <w:t xml:space="preserve">MJT </w:t>
      </w:r>
      <w:r w:rsidR="006413CB" w:rsidRPr="000D63B3">
        <w:rPr>
          <w:bCs/>
          <w:sz w:val="24"/>
          <w:szCs w:val="24"/>
        </w:rPr>
        <w:t xml:space="preserve">oma otsuste vastuvõtmisel küsima luba ega andma aru tsiviilkohtule. Siiski ei tähenda </w:t>
      </w:r>
      <w:r w:rsidR="000D63B3" w:rsidRPr="000D63B3">
        <w:rPr>
          <w:bCs/>
          <w:sz w:val="24"/>
          <w:szCs w:val="24"/>
        </w:rPr>
        <w:t xml:space="preserve">MJT sõltumatus ja iseseisvus, et teatud MJT otsuseid ei võiks pankrotimenetluses kontrollida tsiviilkohus. </w:t>
      </w:r>
    </w:p>
    <w:p w14:paraId="163928D2" w14:textId="77777777" w:rsidR="000D63B3" w:rsidRPr="000D63B3" w:rsidRDefault="000D63B3" w:rsidP="000D63B3">
      <w:pPr>
        <w:ind w:left="360"/>
        <w:jc w:val="both"/>
        <w:rPr>
          <w:bCs/>
          <w:sz w:val="24"/>
          <w:szCs w:val="24"/>
        </w:rPr>
      </w:pPr>
    </w:p>
    <w:p w14:paraId="062CFB21" w14:textId="577F787E" w:rsidR="00D10E91" w:rsidRPr="00AA3030" w:rsidRDefault="006413CB" w:rsidP="006413CB">
      <w:pPr>
        <w:pStyle w:val="Loendilik"/>
        <w:numPr>
          <w:ilvl w:val="0"/>
          <w:numId w:val="16"/>
        </w:numPr>
        <w:jc w:val="both"/>
        <w:rPr>
          <w:bCs/>
          <w:sz w:val="24"/>
          <w:szCs w:val="24"/>
        </w:rPr>
      </w:pPr>
      <w:proofErr w:type="spellStart"/>
      <w:r w:rsidRPr="006413CB">
        <w:rPr>
          <w:bCs/>
          <w:sz w:val="24"/>
          <w:szCs w:val="24"/>
        </w:rPr>
        <w:t>PankrS</w:t>
      </w:r>
      <w:proofErr w:type="spellEnd"/>
      <w:r w:rsidRPr="006413CB">
        <w:rPr>
          <w:bCs/>
          <w:sz w:val="24"/>
          <w:szCs w:val="24"/>
        </w:rPr>
        <w:t xml:space="preserve"> § 192</w:t>
      </w:r>
      <w:r w:rsidRPr="006413CB">
        <w:rPr>
          <w:bCs/>
          <w:sz w:val="24"/>
          <w:szCs w:val="24"/>
          <w:vertAlign w:val="superscript"/>
        </w:rPr>
        <w:t>12</w:t>
      </w:r>
      <w:r w:rsidRPr="006413CB">
        <w:rPr>
          <w:bCs/>
          <w:sz w:val="24"/>
          <w:szCs w:val="24"/>
        </w:rPr>
        <w:t xml:space="preserve"> lg 1 </w:t>
      </w:r>
      <w:r w:rsidR="00C54268">
        <w:rPr>
          <w:bCs/>
          <w:sz w:val="24"/>
          <w:szCs w:val="24"/>
        </w:rPr>
        <w:t xml:space="preserve">järgi </w:t>
      </w:r>
      <w:r w:rsidRPr="006413CB">
        <w:rPr>
          <w:bCs/>
          <w:sz w:val="24"/>
          <w:szCs w:val="24"/>
        </w:rPr>
        <w:t xml:space="preserve">kohaldatakse </w:t>
      </w:r>
      <w:r w:rsidRPr="006413CB">
        <w:rPr>
          <w:color w:val="202020"/>
          <w:sz w:val="24"/>
          <w:szCs w:val="24"/>
        </w:rPr>
        <w:t xml:space="preserve">pankrotimenetluse läbiviimisele avaliku uurimisena pankrotimenetluse läbiviimise kohta sätestatut, arvestades avalikule uurimisele ettenähtud erisusi. Sama paragrahvi lõike kaks </w:t>
      </w:r>
      <w:r w:rsidR="00C54268">
        <w:rPr>
          <w:color w:val="202020"/>
          <w:sz w:val="24"/>
          <w:szCs w:val="24"/>
        </w:rPr>
        <w:t xml:space="preserve">kohaselt </w:t>
      </w:r>
      <w:r w:rsidRPr="006413CB">
        <w:rPr>
          <w:color w:val="202020"/>
          <w:sz w:val="24"/>
          <w:szCs w:val="24"/>
        </w:rPr>
        <w:t xml:space="preserve">läheb võlausaldajate </w:t>
      </w:r>
      <w:r w:rsidRPr="006413CB">
        <w:rPr>
          <w:color w:val="202020"/>
          <w:sz w:val="24"/>
          <w:szCs w:val="24"/>
        </w:rPr>
        <w:lastRenderedPageBreak/>
        <w:t>üldkoosoleku ja pankrotitoimkonna pädevus üle MJT-</w:t>
      </w:r>
      <w:proofErr w:type="spellStart"/>
      <w:r w:rsidRPr="006413CB">
        <w:rPr>
          <w:color w:val="202020"/>
          <w:sz w:val="24"/>
          <w:szCs w:val="24"/>
        </w:rPr>
        <w:t>le</w:t>
      </w:r>
      <w:proofErr w:type="spellEnd"/>
      <w:r w:rsidRPr="006413CB">
        <w:rPr>
          <w:color w:val="202020"/>
          <w:sz w:val="24"/>
          <w:szCs w:val="24"/>
        </w:rPr>
        <w:t xml:space="preserve">. </w:t>
      </w:r>
      <w:r w:rsidR="00C54268">
        <w:rPr>
          <w:color w:val="202020"/>
          <w:sz w:val="24"/>
          <w:szCs w:val="24"/>
        </w:rPr>
        <w:t>Vastavalt nimetatud normile teostab MJT võlausaldajate ja pankrotitoimkonna ülesandeid pankrotiseaduses ettenähtud korras. Võlau</w:t>
      </w:r>
      <w:r w:rsidR="000D285C">
        <w:rPr>
          <w:color w:val="202020"/>
          <w:sz w:val="24"/>
          <w:szCs w:val="24"/>
        </w:rPr>
        <w:t>sald</w:t>
      </w:r>
      <w:r w:rsidR="00C54268">
        <w:rPr>
          <w:color w:val="202020"/>
          <w:sz w:val="24"/>
          <w:szCs w:val="24"/>
        </w:rPr>
        <w:t xml:space="preserve">ajate üldkoosoleku pädevus on sätestatud </w:t>
      </w:r>
      <w:proofErr w:type="spellStart"/>
      <w:r w:rsidR="00C54268">
        <w:rPr>
          <w:color w:val="202020"/>
          <w:sz w:val="24"/>
          <w:szCs w:val="24"/>
        </w:rPr>
        <w:t>PankrS</w:t>
      </w:r>
      <w:proofErr w:type="spellEnd"/>
      <w:r w:rsidR="00C54268">
        <w:rPr>
          <w:color w:val="202020"/>
          <w:sz w:val="24"/>
          <w:szCs w:val="24"/>
        </w:rPr>
        <w:t xml:space="preserve"> §-s 77. </w:t>
      </w:r>
      <w:r w:rsidR="00D10E91">
        <w:rPr>
          <w:color w:val="202020"/>
          <w:sz w:val="24"/>
          <w:szCs w:val="24"/>
        </w:rPr>
        <w:t>Seega ei lähe MJT-</w:t>
      </w:r>
      <w:proofErr w:type="spellStart"/>
      <w:r w:rsidR="00D10E91">
        <w:rPr>
          <w:color w:val="202020"/>
          <w:sz w:val="24"/>
          <w:szCs w:val="24"/>
        </w:rPr>
        <w:t>le</w:t>
      </w:r>
      <w:proofErr w:type="spellEnd"/>
      <w:r w:rsidR="00D10E91">
        <w:rPr>
          <w:color w:val="202020"/>
          <w:sz w:val="24"/>
          <w:szCs w:val="24"/>
        </w:rPr>
        <w:t xml:space="preserve"> üle rohkem õigus</w:t>
      </w:r>
      <w:r w:rsidR="000D285C">
        <w:rPr>
          <w:color w:val="202020"/>
          <w:sz w:val="24"/>
          <w:szCs w:val="24"/>
        </w:rPr>
        <w:t>i</w:t>
      </w:r>
      <w:r w:rsidR="00D10E91">
        <w:rPr>
          <w:color w:val="202020"/>
          <w:sz w:val="24"/>
          <w:szCs w:val="24"/>
        </w:rPr>
        <w:t xml:space="preserve">, kui oli võlausaldajate üldkoosolekul. Pankrotimenetluse läbiviimise käigus võib küll MJT võtta vastu otsuseid, mis väljuvad võlausaldajate pädevusest, kuid sellistel MJT otsustel ei ole siduvat iseloomu. </w:t>
      </w:r>
    </w:p>
    <w:p w14:paraId="3130803A" w14:textId="77777777" w:rsidR="00AA3030" w:rsidRPr="00AA3030" w:rsidRDefault="00AA3030" w:rsidP="00AA3030">
      <w:pPr>
        <w:pStyle w:val="Loendilik"/>
        <w:rPr>
          <w:bCs/>
          <w:sz w:val="24"/>
          <w:szCs w:val="24"/>
        </w:rPr>
      </w:pPr>
    </w:p>
    <w:p w14:paraId="00C15F97" w14:textId="58D9CFAC" w:rsidR="00D10E91" w:rsidRPr="00AA3030" w:rsidRDefault="00D10E91" w:rsidP="00AA3030">
      <w:pPr>
        <w:pStyle w:val="Loendilik"/>
        <w:numPr>
          <w:ilvl w:val="0"/>
          <w:numId w:val="16"/>
        </w:numPr>
        <w:jc w:val="both"/>
        <w:rPr>
          <w:bCs/>
          <w:sz w:val="24"/>
          <w:szCs w:val="24"/>
        </w:rPr>
      </w:pPr>
      <w:r w:rsidRPr="00AA3030">
        <w:rPr>
          <w:color w:val="202020"/>
          <w:sz w:val="24"/>
          <w:szCs w:val="24"/>
        </w:rPr>
        <w:t xml:space="preserve">Näiteks ei ole võlausaldajate üldkoosolekul pädevust kohustada pankrotihaldurit esitama tagasivõitmise või juhatuse liikme vastutuse hagi. Juhul, kui MJT võtab vastu otsuse, et pankrotihalduril on kohustatud esitama tagasivõitmise hagi, siis ei ole selline otsus pankrotihaldurile siduv. </w:t>
      </w:r>
    </w:p>
    <w:p w14:paraId="5548D045" w14:textId="77777777" w:rsidR="00AA3030" w:rsidRPr="00AA3030" w:rsidRDefault="00AA3030" w:rsidP="00AA3030">
      <w:pPr>
        <w:pStyle w:val="Loendilik"/>
        <w:rPr>
          <w:bCs/>
          <w:sz w:val="24"/>
          <w:szCs w:val="24"/>
        </w:rPr>
      </w:pPr>
    </w:p>
    <w:p w14:paraId="011358D8" w14:textId="245B26A1" w:rsidR="00D10E91" w:rsidRPr="00AA3030" w:rsidRDefault="00D10E91" w:rsidP="00AA3030">
      <w:pPr>
        <w:pStyle w:val="Loendilik"/>
        <w:numPr>
          <w:ilvl w:val="0"/>
          <w:numId w:val="16"/>
        </w:numPr>
        <w:jc w:val="both"/>
        <w:rPr>
          <w:bCs/>
          <w:sz w:val="24"/>
          <w:szCs w:val="24"/>
        </w:rPr>
      </w:pPr>
      <w:r w:rsidRPr="00AA3030">
        <w:rPr>
          <w:color w:val="202020"/>
          <w:sz w:val="24"/>
          <w:szCs w:val="24"/>
        </w:rPr>
        <w:t xml:space="preserve">Vastavalt </w:t>
      </w:r>
      <w:proofErr w:type="spellStart"/>
      <w:r w:rsidRPr="00AA3030">
        <w:rPr>
          <w:bCs/>
          <w:sz w:val="24"/>
          <w:szCs w:val="24"/>
        </w:rPr>
        <w:t>PankrS</w:t>
      </w:r>
      <w:proofErr w:type="spellEnd"/>
      <w:r w:rsidRPr="00AA3030">
        <w:rPr>
          <w:bCs/>
          <w:sz w:val="24"/>
          <w:szCs w:val="24"/>
        </w:rPr>
        <w:t xml:space="preserve"> § 192</w:t>
      </w:r>
      <w:r w:rsidRPr="00AA3030">
        <w:rPr>
          <w:bCs/>
          <w:sz w:val="24"/>
          <w:szCs w:val="24"/>
          <w:vertAlign w:val="superscript"/>
        </w:rPr>
        <w:t>12</w:t>
      </w:r>
      <w:r w:rsidRPr="00AA3030">
        <w:rPr>
          <w:bCs/>
          <w:sz w:val="24"/>
          <w:szCs w:val="24"/>
        </w:rPr>
        <w:t xml:space="preserve"> </w:t>
      </w:r>
      <w:proofErr w:type="spellStart"/>
      <w:r w:rsidRPr="00AA3030">
        <w:rPr>
          <w:bCs/>
          <w:sz w:val="24"/>
          <w:szCs w:val="24"/>
        </w:rPr>
        <w:t>lg</w:t>
      </w:r>
      <w:r w:rsidR="000D285C">
        <w:rPr>
          <w:bCs/>
          <w:sz w:val="24"/>
          <w:szCs w:val="24"/>
        </w:rPr>
        <w:t>-le</w:t>
      </w:r>
      <w:proofErr w:type="spellEnd"/>
      <w:r w:rsidRPr="00AA3030">
        <w:rPr>
          <w:bCs/>
          <w:sz w:val="24"/>
          <w:szCs w:val="24"/>
        </w:rPr>
        <w:t xml:space="preserve"> 5 </w:t>
      </w:r>
      <w:r w:rsidRPr="00AA3030">
        <w:rPr>
          <w:color w:val="202020"/>
          <w:sz w:val="24"/>
          <w:szCs w:val="24"/>
          <w:shd w:val="clear" w:color="auto" w:fill="FFFFFF"/>
        </w:rPr>
        <w:t xml:space="preserve">ei saa võlausaldaja vaidlustada teenistuse otsuseid seoses pankrotivara müügiga, mille teenistus on teinud võlausaldajate üldkoosoleku või pankrotitoimkonna pädevuses. Nimetatud norm viitab üheselt, et MJT peab järgima </w:t>
      </w:r>
      <w:r w:rsidR="000D63B3" w:rsidRPr="00AA3030">
        <w:rPr>
          <w:color w:val="202020"/>
          <w:sz w:val="24"/>
          <w:szCs w:val="24"/>
          <w:shd w:val="clear" w:color="auto" w:fill="FFFFFF"/>
        </w:rPr>
        <w:t>võlausaldajate üldkoosoleku pädevust.</w:t>
      </w:r>
    </w:p>
    <w:p w14:paraId="4890AA27" w14:textId="77777777" w:rsidR="00AA3030" w:rsidRPr="00AA3030" w:rsidRDefault="00AA3030" w:rsidP="00AA3030">
      <w:pPr>
        <w:pStyle w:val="Loendilik"/>
        <w:rPr>
          <w:bCs/>
          <w:sz w:val="24"/>
          <w:szCs w:val="24"/>
        </w:rPr>
      </w:pPr>
    </w:p>
    <w:p w14:paraId="51292B86" w14:textId="70D9238C" w:rsidR="000D63B3" w:rsidRDefault="000D63B3" w:rsidP="00AA3030">
      <w:pPr>
        <w:pStyle w:val="Loendilik"/>
        <w:numPr>
          <w:ilvl w:val="0"/>
          <w:numId w:val="16"/>
        </w:numPr>
        <w:jc w:val="both"/>
        <w:rPr>
          <w:bCs/>
          <w:sz w:val="24"/>
          <w:szCs w:val="24"/>
        </w:rPr>
      </w:pPr>
      <w:r w:rsidRPr="00AA3030">
        <w:rPr>
          <w:color w:val="202020"/>
          <w:sz w:val="24"/>
          <w:szCs w:val="24"/>
          <w:shd w:val="clear" w:color="auto" w:fill="FFFFFF"/>
        </w:rPr>
        <w:t xml:space="preserve">Hoolimata asjaolust, et lähtuvalt </w:t>
      </w:r>
      <w:proofErr w:type="spellStart"/>
      <w:r w:rsidRPr="00AA3030">
        <w:rPr>
          <w:bCs/>
          <w:sz w:val="24"/>
          <w:szCs w:val="24"/>
        </w:rPr>
        <w:t>PankrS</w:t>
      </w:r>
      <w:proofErr w:type="spellEnd"/>
      <w:r w:rsidRPr="00AA3030">
        <w:rPr>
          <w:bCs/>
          <w:sz w:val="24"/>
          <w:szCs w:val="24"/>
        </w:rPr>
        <w:t xml:space="preserve"> § 192</w:t>
      </w:r>
      <w:r w:rsidRPr="00AA3030">
        <w:rPr>
          <w:bCs/>
          <w:sz w:val="24"/>
          <w:szCs w:val="24"/>
          <w:vertAlign w:val="superscript"/>
        </w:rPr>
        <w:t>12</w:t>
      </w:r>
      <w:r w:rsidRPr="00AA3030">
        <w:rPr>
          <w:bCs/>
          <w:sz w:val="24"/>
          <w:szCs w:val="24"/>
        </w:rPr>
        <w:t xml:space="preserve"> </w:t>
      </w:r>
      <w:proofErr w:type="spellStart"/>
      <w:r w:rsidRPr="00AA3030">
        <w:rPr>
          <w:bCs/>
          <w:sz w:val="24"/>
          <w:szCs w:val="24"/>
        </w:rPr>
        <w:t>lg-st</w:t>
      </w:r>
      <w:proofErr w:type="spellEnd"/>
      <w:r w:rsidRPr="00AA3030">
        <w:rPr>
          <w:bCs/>
          <w:sz w:val="24"/>
          <w:szCs w:val="24"/>
        </w:rPr>
        <w:t xml:space="preserve"> 6 läheb MJT-</w:t>
      </w:r>
      <w:proofErr w:type="spellStart"/>
      <w:r w:rsidRPr="00AA3030">
        <w:rPr>
          <w:bCs/>
          <w:sz w:val="24"/>
          <w:szCs w:val="24"/>
        </w:rPr>
        <w:t>le</w:t>
      </w:r>
      <w:proofErr w:type="spellEnd"/>
      <w:r w:rsidRPr="00AA3030">
        <w:rPr>
          <w:bCs/>
          <w:sz w:val="24"/>
          <w:szCs w:val="24"/>
        </w:rPr>
        <w:t xml:space="preserve"> üle õigus esitada võlausaldajate nõudele vastuväide, kinnitab võlausaldajate nimekirja </w:t>
      </w:r>
      <w:r w:rsidR="00AA3030" w:rsidRPr="00AA3030">
        <w:rPr>
          <w:bCs/>
          <w:sz w:val="24"/>
          <w:szCs w:val="24"/>
        </w:rPr>
        <w:t xml:space="preserve">ikkagi </w:t>
      </w:r>
      <w:r w:rsidRPr="00AA3030">
        <w:rPr>
          <w:bCs/>
          <w:sz w:val="24"/>
          <w:szCs w:val="24"/>
        </w:rPr>
        <w:t xml:space="preserve">tsiviilkohus. Seega kontrollib tsiviilkohus, kas MJT poolt esitatud vastuväide võlausaldaja nõudele oli põhjendatud. </w:t>
      </w:r>
      <w:r w:rsidR="00851B4D">
        <w:rPr>
          <w:bCs/>
          <w:sz w:val="24"/>
          <w:szCs w:val="24"/>
        </w:rPr>
        <w:t>Kõnealuses</w:t>
      </w:r>
      <w:r w:rsidRPr="00AA3030">
        <w:rPr>
          <w:bCs/>
          <w:sz w:val="24"/>
          <w:szCs w:val="24"/>
        </w:rPr>
        <w:t xml:space="preserve"> küsimuses on tsiviilkohtul õigus pankrotimenetluses kontrollida, kas MJT otsus oli kooskõlas pankrotimenetluse reeglitega.</w:t>
      </w:r>
    </w:p>
    <w:p w14:paraId="4A8D2272" w14:textId="77777777" w:rsidR="00AA3030" w:rsidRPr="00AA3030" w:rsidRDefault="00AA3030" w:rsidP="00AA3030">
      <w:pPr>
        <w:pStyle w:val="Loendilik"/>
        <w:rPr>
          <w:bCs/>
          <w:sz w:val="24"/>
          <w:szCs w:val="24"/>
        </w:rPr>
      </w:pPr>
    </w:p>
    <w:p w14:paraId="6E4C75FA" w14:textId="5535A04D" w:rsidR="00AA3030" w:rsidRPr="00AA3030" w:rsidRDefault="00AA3030" w:rsidP="00AA3030">
      <w:pPr>
        <w:pStyle w:val="Loendilik"/>
        <w:numPr>
          <w:ilvl w:val="0"/>
          <w:numId w:val="16"/>
        </w:numPr>
        <w:jc w:val="both"/>
        <w:rPr>
          <w:bCs/>
          <w:sz w:val="24"/>
          <w:szCs w:val="24"/>
        </w:rPr>
      </w:pPr>
      <w:r w:rsidRPr="00AA3030">
        <w:rPr>
          <w:color w:val="202020"/>
          <w:sz w:val="24"/>
          <w:szCs w:val="24"/>
        </w:rPr>
        <w:t xml:space="preserve">Tuginedes ülaltoodule tegutseb MJT iseseisvana </w:t>
      </w:r>
      <w:r>
        <w:rPr>
          <w:color w:val="202020"/>
          <w:sz w:val="24"/>
          <w:szCs w:val="24"/>
        </w:rPr>
        <w:t xml:space="preserve">ning </w:t>
      </w:r>
      <w:r w:rsidRPr="00AA3030">
        <w:rPr>
          <w:color w:val="202020"/>
          <w:sz w:val="24"/>
          <w:szCs w:val="24"/>
        </w:rPr>
        <w:t>on otsuste</w:t>
      </w:r>
      <w:r>
        <w:rPr>
          <w:color w:val="202020"/>
          <w:sz w:val="24"/>
          <w:szCs w:val="24"/>
        </w:rPr>
        <w:t xml:space="preserve"> vastuvõtmises </w:t>
      </w:r>
      <w:r w:rsidRPr="00AA3030">
        <w:rPr>
          <w:color w:val="202020"/>
          <w:sz w:val="24"/>
          <w:szCs w:val="24"/>
        </w:rPr>
        <w:t xml:space="preserve">vaba, kuid </w:t>
      </w:r>
      <w:r>
        <w:rPr>
          <w:color w:val="202020"/>
          <w:sz w:val="24"/>
          <w:szCs w:val="24"/>
        </w:rPr>
        <w:t xml:space="preserve">samas muutuvad sellised </w:t>
      </w:r>
      <w:r w:rsidRPr="00AA3030">
        <w:rPr>
          <w:color w:val="202020"/>
          <w:sz w:val="24"/>
          <w:szCs w:val="24"/>
        </w:rPr>
        <w:t xml:space="preserve">MJT </w:t>
      </w:r>
      <w:r>
        <w:rPr>
          <w:color w:val="202020"/>
          <w:sz w:val="24"/>
          <w:szCs w:val="24"/>
        </w:rPr>
        <w:t>otsused pankrotimenetluse osaks. J</w:t>
      </w:r>
      <w:r w:rsidRPr="00AA3030">
        <w:rPr>
          <w:color w:val="202020"/>
          <w:sz w:val="24"/>
          <w:szCs w:val="24"/>
        </w:rPr>
        <w:t xml:space="preserve">uhul, kui </w:t>
      </w:r>
      <w:r>
        <w:rPr>
          <w:color w:val="202020"/>
          <w:sz w:val="24"/>
          <w:szCs w:val="24"/>
        </w:rPr>
        <w:t>MJT otsused muutuvad pankrotimenetluse osaks, siis kontrollitakse selliseid ot</w:t>
      </w:r>
      <w:r w:rsidR="00851B4D">
        <w:rPr>
          <w:color w:val="202020"/>
          <w:sz w:val="24"/>
          <w:szCs w:val="24"/>
        </w:rPr>
        <w:t>s</w:t>
      </w:r>
      <w:r>
        <w:rPr>
          <w:color w:val="202020"/>
          <w:sz w:val="24"/>
          <w:szCs w:val="24"/>
        </w:rPr>
        <w:t>useid seaduses ettenähtud juhtudel ja korras pankrotimenetluse järelevalve tsiviilkohtuniku poolt. Selline tsiviilõiguste teostamise kontroll pankrotimenetluses ei tähenda, et MJT alluks tsiviilkohtule.</w:t>
      </w:r>
    </w:p>
    <w:p w14:paraId="69FB02C1" w14:textId="77777777" w:rsidR="00AA3030" w:rsidRPr="00AA3030" w:rsidRDefault="00AA3030" w:rsidP="00AA3030">
      <w:pPr>
        <w:pStyle w:val="Loendilik"/>
        <w:rPr>
          <w:bCs/>
          <w:sz w:val="24"/>
          <w:szCs w:val="24"/>
        </w:rPr>
      </w:pPr>
    </w:p>
    <w:p w14:paraId="7530BE22" w14:textId="460129B3" w:rsidR="00AA3030" w:rsidRDefault="00AA3030" w:rsidP="00AA3030">
      <w:pPr>
        <w:pStyle w:val="Loendilik"/>
        <w:numPr>
          <w:ilvl w:val="0"/>
          <w:numId w:val="16"/>
        </w:numPr>
        <w:jc w:val="both"/>
        <w:rPr>
          <w:bCs/>
          <w:sz w:val="24"/>
          <w:szCs w:val="24"/>
        </w:rPr>
      </w:pPr>
      <w:r>
        <w:rPr>
          <w:bCs/>
          <w:sz w:val="24"/>
          <w:szCs w:val="24"/>
        </w:rPr>
        <w:t xml:space="preserve">Lisaks eelnevale peame vajalikuks rõhutada, et pankrotimenetlus on tulenevalt oma kollektiivsest iseloomust spetsiifiline menetlus (vt </w:t>
      </w:r>
      <w:r w:rsidR="00851B4D">
        <w:rPr>
          <w:bCs/>
          <w:sz w:val="24"/>
          <w:szCs w:val="24"/>
        </w:rPr>
        <w:t xml:space="preserve">arvamuse </w:t>
      </w:r>
      <w:r>
        <w:rPr>
          <w:bCs/>
          <w:sz w:val="24"/>
          <w:szCs w:val="24"/>
        </w:rPr>
        <w:t>p 3). Pankrotimenetlus allub kollektiivsetele reeglitele ja kuivõrd MJT on osa pankrotimenetlusest, siis allub MJT samuti kollektiivsetele pankrotimenetluse reeglitele niivõrd</w:t>
      </w:r>
      <w:r w:rsidR="00851B4D">
        <w:rPr>
          <w:bCs/>
          <w:sz w:val="24"/>
          <w:szCs w:val="24"/>
        </w:rPr>
        <w:t>,</w:t>
      </w:r>
      <w:r>
        <w:rPr>
          <w:bCs/>
          <w:sz w:val="24"/>
          <w:szCs w:val="24"/>
        </w:rPr>
        <w:t xml:space="preserve"> kui viidatud reeglid ei lähe vastuollu MJT-</w:t>
      </w:r>
      <w:proofErr w:type="spellStart"/>
      <w:r>
        <w:rPr>
          <w:bCs/>
          <w:sz w:val="24"/>
          <w:szCs w:val="24"/>
        </w:rPr>
        <w:t>le</w:t>
      </w:r>
      <w:proofErr w:type="spellEnd"/>
      <w:r>
        <w:rPr>
          <w:bCs/>
          <w:sz w:val="24"/>
          <w:szCs w:val="24"/>
        </w:rPr>
        <w:t xml:space="preserve"> kehtestatud reeglitega. </w:t>
      </w:r>
      <w:r w:rsidR="00B70D17">
        <w:rPr>
          <w:bCs/>
          <w:sz w:val="24"/>
          <w:szCs w:val="24"/>
        </w:rPr>
        <w:t>Samuti määratakse pankrotihalduri tasu lähtuvalt kollektiivsetest pankrotimenetluse reeglitest.</w:t>
      </w:r>
    </w:p>
    <w:p w14:paraId="101DF364" w14:textId="77777777" w:rsidR="00AA3030" w:rsidRPr="00AA3030" w:rsidRDefault="00AA3030" w:rsidP="00AA3030">
      <w:pPr>
        <w:pStyle w:val="Loendilik"/>
        <w:rPr>
          <w:bCs/>
          <w:sz w:val="24"/>
          <w:szCs w:val="24"/>
        </w:rPr>
      </w:pPr>
    </w:p>
    <w:p w14:paraId="28772F95" w14:textId="65908434" w:rsidR="006413CB" w:rsidRPr="00B70D17" w:rsidRDefault="00AA3030" w:rsidP="00F163D0">
      <w:pPr>
        <w:pStyle w:val="Loendilik"/>
        <w:numPr>
          <w:ilvl w:val="0"/>
          <w:numId w:val="16"/>
        </w:numPr>
        <w:jc w:val="both"/>
        <w:rPr>
          <w:bCs/>
          <w:sz w:val="24"/>
          <w:szCs w:val="24"/>
        </w:rPr>
      </w:pPr>
      <w:r w:rsidRPr="00B70D17">
        <w:rPr>
          <w:bCs/>
          <w:sz w:val="24"/>
          <w:szCs w:val="24"/>
        </w:rPr>
        <w:t xml:space="preserve">Arvestades, et MJT on oma olemuselt osa maksejõuetuse menetlusest, </w:t>
      </w:r>
      <w:r w:rsidR="00B70D17" w:rsidRPr="00B70D17">
        <w:rPr>
          <w:bCs/>
          <w:sz w:val="24"/>
          <w:szCs w:val="24"/>
        </w:rPr>
        <w:t xml:space="preserve">mis toimub hagita menetluses tsiviilkohtumenetluses, </w:t>
      </w:r>
      <w:r w:rsidRPr="00B70D17">
        <w:rPr>
          <w:bCs/>
          <w:sz w:val="24"/>
          <w:szCs w:val="24"/>
        </w:rPr>
        <w:t xml:space="preserve">siis ei ole võimalik MJT </w:t>
      </w:r>
      <w:r w:rsidR="00B70D17" w:rsidRPr="00B70D17">
        <w:rPr>
          <w:bCs/>
          <w:sz w:val="24"/>
          <w:szCs w:val="24"/>
        </w:rPr>
        <w:t xml:space="preserve">täielik </w:t>
      </w:r>
      <w:r w:rsidRPr="00B70D17">
        <w:rPr>
          <w:bCs/>
          <w:sz w:val="24"/>
          <w:szCs w:val="24"/>
        </w:rPr>
        <w:t>eralda</w:t>
      </w:r>
      <w:r w:rsidR="00B70D17" w:rsidRPr="00B70D17">
        <w:rPr>
          <w:bCs/>
          <w:sz w:val="24"/>
          <w:szCs w:val="24"/>
        </w:rPr>
        <w:t xml:space="preserve">mine </w:t>
      </w:r>
      <w:r w:rsidRPr="00B70D17">
        <w:rPr>
          <w:bCs/>
          <w:sz w:val="24"/>
          <w:szCs w:val="24"/>
        </w:rPr>
        <w:t xml:space="preserve"> pankrotimenetluse reeglitest</w:t>
      </w:r>
      <w:r w:rsidR="00B70D17" w:rsidRPr="00B70D17">
        <w:rPr>
          <w:bCs/>
          <w:sz w:val="24"/>
          <w:szCs w:val="24"/>
        </w:rPr>
        <w:t>, mistõttu ei</w:t>
      </w:r>
      <w:r w:rsidR="00B70D17" w:rsidRPr="00B70D17">
        <w:rPr>
          <w:color w:val="000000" w:themeColor="text1"/>
          <w:sz w:val="24"/>
          <w:szCs w:val="24"/>
          <w:shd w:val="clear" w:color="auto" w:fill="FFFFFF"/>
        </w:rPr>
        <w:t xml:space="preserve"> </w:t>
      </w:r>
      <w:r w:rsidR="00B70D17" w:rsidRPr="004A5189">
        <w:rPr>
          <w:color w:val="000000" w:themeColor="text1"/>
          <w:sz w:val="24"/>
          <w:szCs w:val="24"/>
          <w:shd w:val="clear" w:color="auto" w:fill="FFFFFF"/>
        </w:rPr>
        <w:t xml:space="preserve">toeta </w:t>
      </w:r>
      <w:r w:rsidR="00B70D17" w:rsidRPr="004A5189">
        <w:rPr>
          <w:color w:val="202020"/>
          <w:sz w:val="24"/>
          <w:szCs w:val="24"/>
          <w:shd w:val="clear" w:color="auto" w:fill="FFFFFF"/>
        </w:rPr>
        <w:t xml:space="preserve">arvamuse koostajad MJT </w:t>
      </w:r>
      <w:r w:rsidR="00851B4D">
        <w:rPr>
          <w:color w:val="202020"/>
          <w:sz w:val="24"/>
          <w:szCs w:val="24"/>
          <w:shd w:val="clear" w:color="auto" w:fill="FFFFFF"/>
        </w:rPr>
        <w:t>neljandat</w:t>
      </w:r>
      <w:r w:rsidR="00B70D17" w:rsidRPr="004A5189">
        <w:rPr>
          <w:color w:val="202020"/>
          <w:sz w:val="24"/>
          <w:szCs w:val="24"/>
          <w:shd w:val="clear" w:color="auto" w:fill="FFFFFF"/>
        </w:rPr>
        <w:t xml:space="preserve"> ettepanekut</w:t>
      </w:r>
      <w:r w:rsidR="00B70D17">
        <w:rPr>
          <w:color w:val="202020"/>
          <w:sz w:val="24"/>
          <w:szCs w:val="24"/>
          <w:shd w:val="clear" w:color="auto" w:fill="FFFFFF"/>
        </w:rPr>
        <w:t>.</w:t>
      </w:r>
    </w:p>
    <w:p w14:paraId="2211FBAC" w14:textId="77777777" w:rsidR="004A5189" w:rsidRPr="004A5189" w:rsidRDefault="004A5189" w:rsidP="004F63FF">
      <w:pPr>
        <w:jc w:val="both"/>
        <w:rPr>
          <w:bCs/>
          <w:sz w:val="24"/>
          <w:szCs w:val="24"/>
        </w:rPr>
      </w:pPr>
    </w:p>
    <w:p w14:paraId="6E7CDF3D" w14:textId="5263BC00" w:rsidR="004F63FF" w:rsidRDefault="00325D97" w:rsidP="00FE4D1E">
      <w:pPr>
        <w:pStyle w:val="Loendilik"/>
        <w:numPr>
          <w:ilvl w:val="0"/>
          <w:numId w:val="15"/>
        </w:numPr>
        <w:ind w:hanging="720"/>
        <w:jc w:val="both"/>
        <w:rPr>
          <w:b/>
          <w:sz w:val="24"/>
          <w:szCs w:val="24"/>
        </w:rPr>
      </w:pPr>
      <w:r>
        <w:rPr>
          <w:b/>
          <w:sz w:val="24"/>
          <w:szCs w:val="24"/>
        </w:rPr>
        <w:t xml:space="preserve">Mõjuhinnang maksejõuetusega seotud riigieelarve vahendite kasutamise kohta </w:t>
      </w:r>
    </w:p>
    <w:p w14:paraId="114C085D" w14:textId="77777777" w:rsidR="00325D97" w:rsidRDefault="00325D97" w:rsidP="00325D97">
      <w:pPr>
        <w:jc w:val="both"/>
        <w:rPr>
          <w:bCs/>
          <w:sz w:val="24"/>
          <w:szCs w:val="24"/>
        </w:rPr>
      </w:pPr>
    </w:p>
    <w:p w14:paraId="0717599B" w14:textId="26267030" w:rsidR="00325D97" w:rsidRPr="00325D97" w:rsidRDefault="00325D97" w:rsidP="00325D97">
      <w:pPr>
        <w:pStyle w:val="Loendilik"/>
        <w:numPr>
          <w:ilvl w:val="0"/>
          <w:numId w:val="16"/>
        </w:numPr>
        <w:jc w:val="both"/>
        <w:rPr>
          <w:bCs/>
          <w:sz w:val="24"/>
          <w:szCs w:val="24"/>
        </w:rPr>
      </w:pPr>
      <w:r w:rsidRPr="00325D97">
        <w:rPr>
          <w:bCs/>
          <w:sz w:val="24"/>
          <w:szCs w:val="24"/>
        </w:rPr>
        <w:t xml:space="preserve">Arvamuse koostajad toetavad </w:t>
      </w:r>
      <w:r w:rsidRPr="00325D97">
        <w:rPr>
          <w:color w:val="202020"/>
          <w:sz w:val="24"/>
          <w:szCs w:val="24"/>
          <w:shd w:val="clear" w:color="auto" w:fill="FFFFFF"/>
        </w:rPr>
        <w:t xml:space="preserve">MJT </w:t>
      </w:r>
      <w:r w:rsidR="00851B4D">
        <w:rPr>
          <w:color w:val="202020"/>
          <w:sz w:val="24"/>
          <w:szCs w:val="24"/>
          <w:shd w:val="clear" w:color="auto" w:fill="FFFFFF"/>
        </w:rPr>
        <w:t>viiendat</w:t>
      </w:r>
      <w:r w:rsidRPr="00325D97">
        <w:rPr>
          <w:color w:val="202020"/>
          <w:sz w:val="24"/>
          <w:szCs w:val="24"/>
          <w:shd w:val="clear" w:color="auto" w:fill="FFFFFF"/>
        </w:rPr>
        <w:t xml:space="preserve"> ettepanekut.</w:t>
      </w:r>
    </w:p>
    <w:p w14:paraId="70D04D93" w14:textId="50E81DD5" w:rsidR="00325D97" w:rsidRPr="00325D97" w:rsidRDefault="00325D97" w:rsidP="00325D97">
      <w:pPr>
        <w:jc w:val="both"/>
        <w:rPr>
          <w:b/>
          <w:sz w:val="24"/>
          <w:szCs w:val="24"/>
        </w:rPr>
      </w:pPr>
    </w:p>
    <w:p w14:paraId="512034E1" w14:textId="6E94B302" w:rsidR="00325D97" w:rsidRDefault="0047628D" w:rsidP="00325D97">
      <w:pPr>
        <w:pStyle w:val="Loendilik"/>
        <w:numPr>
          <w:ilvl w:val="0"/>
          <w:numId w:val="15"/>
        </w:numPr>
        <w:ind w:hanging="720"/>
        <w:jc w:val="both"/>
        <w:rPr>
          <w:b/>
          <w:sz w:val="24"/>
          <w:szCs w:val="24"/>
        </w:rPr>
      </w:pPr>
      <w:r>
        <w:rPr>
          <w:b/>
          <w:sz w:val="24"/>
          <w:szCs w:val="24"/>
        </w:rPr>
        <w:t xml:space="preserve">Ühise haldusorgani loomine </w:t>
      </w:r>
      <w:proofErr w:type="spellStart"/>
      <w:r>
        <w:rPr>
          <w:b/>
          <w:sz w:val="24"/>
          <w:szCs w:val="24"/>
        </w:rPr>
        <w:t>PankrS</w:t>
      </w:r>
      <w:proofErr w:type="spellEnd"/>
      <w:r>
        <w:rPr>
          <w:b/>
          <w:sz w:val="24"/>
          <w:szCs w:val="24"/>
        </w:rPr>
        <w:t xml:space="preserve"> §</w:t>
      </w:r>
      <w:r w:rsidR="003157F4">
        <w:rPr>
          <w:b/>
          <w:sz w:val="24"/>
          <w:szCs w:val="24"/>
        </w:rPr>
        <w:t>-s</w:t>
      </w:r>
      <w:r>
        <w:rPr>
          <w:b/>
          <w:sz w:val="24"/>
          <w:szCs w:val="24"/>
        </w:rPr>
        <w:t xml:space="preserve"> 54 nimetatud kutsetegevuse kandjatele </w:t>
      </w:r>
    </w:p>
    <w:p w14:paraId="53240B9C" w14:textId="6125EFF0" w:rsidR="00325D97" w:rsidRDefault="00325D97" w:rsidP="00325D97">
      <w:pPr>
        <w:jc w:val="both"/>
        <w:rPr>
          <w:b/>
          <w:sz w:val="24"/>
          <w:szCs w:val="24"/>
        </w:rPr>
      </w:pPr>
    </w:p>
    <w:p w14:paraId="72EDDD91" w14:textId="17308068" w:rsidR="00325D97" w:rsidRPr="0047628D" w:rsidRDefault="00325D97" w:rsidP="0067720B">
      <w:pPr>
        <w:pStyle w:val="Loendilik"/>
        <w:numPr>
          <w:ilvl w:val="0"/>
          <w:numId w:val="16"/>
        </w:numPr>
        <w:jc w:val="both"/>
        <w:rPr>
          <w:bCs/>
          <w:sz w:val="24"/>
          <w:szCs w:val="24"/>
        </w:rPr>
      </w:pPr>
      <w:proofErr w:type="spellStart"/>
      <w:r w:rsidRPr="0047628D">
        <w:rPr>
          <w:bCs/>
          <w:color w:val="000000" w:themeColor="text1"/>
          <w:sz w:val="24"/>
          <w:szCs w:val="24"/>
        </w:rPr>
        <w:lastRenderedPageBreak/>
        <w:t>PankrS</w:t>
      </w:r>
      <w:proofErr w:type="spellEnd"/>
      <w:r w:rsidRPr="0047628D">
        <w:rPr>
          <w:bCs/>
          <w:color w:val="000000" w:themeColor="text1"/>
          <w:sz w:val="24"/>
          <w:szCs w:val="24"/>
        </w:rPr>
        <w:t xml:space="preserve"> § 54 muutmine MJT ettepanekus tehtud viisil tähendab </w:t>
      </w:r>
      <w:r w:rsidR="00E26087" w:rsidRPr="0047628D">
        <w:rPr>
          <w:bCs/>
          <w:color w:val="000000" w:themeColor="text1"/>
          <w:sz w:val="24"/>
          <w:szCs w:val="24"/>
        </w:rPr>
        <w:t>pankroti</w:t>
      </w:r>
      <w:r w:rsidRPr="0047628D">
        <w:rPr>
          <w:bCs/>
          <w:color w:val="000000" w:themeColor="text1"/>
          <w:sz w:val="24"/>
          <w:szCs w:val="24"/>
        </w:rPr>
        <w:t>halduri</w:t>
      </w:r>
      <w:r w:rsidR="00E26087" w:rsidRPr="0047628D">
        <w:rPr>
          <w:bCs/>
          <w:color w:val="000000" w:themeColor="text1"/>
          <w:sz w:val="24"/>
          <w:szCs w:val="24"/>
        </w:rPr>
        <w:t xml:space="preserve"> õigusliku regulatsiooni ja Kohtutäiturite ja Pankrotihaldurite Koja</w:t>
      </w:r>
      <w:r w:rsidRPr="0047628D">
        <w:rPr>
          <w:bCs/>
          <w:color w:val="000000" w:themeColor="text1"/>
          <w:sz w:val="24"/>
          <w:szCs w:val="24"/>
        </w:rPr>
        <w:t xml:space="preserve"> </w:t>
      </w:r>
      <w:r w:rsidR="006E7E7F" w:rsidRPr="006E7E7F">
        <w:rPr>
          <w:bCs/>
          <w:color w:val="000000" w:themeColor="text1"/>
          <w:sz w:val="24"/>
          <w:szCs w:val="24"/>
        </w:rPr>
        <w:t xml:space="preserve">(edaspidi „Koda“) </w:t>
      </w:r>
      <w:r w:rsidR="006E7E7F">
        <w:rPr>
          <w:bCs/>
          <w:color w:val="000000" w:themeColor="text1"/>
          <w:sz w:val="24"/>
          <w:szCs w:val="24"/>
        </w:rPr>
        <w:t xml:space="preserve"> </w:t>
      </w:r>
      <w:r w:rsidRPr="0047628D">
        <w:rPr>
          <w:bCs/>
          <w:color w:val="000000" w:themeColor="text1"/>
          <w:sz w:val="24"/>
          <w:szCs w:val="24"/>
        </w:rPr>
        <w:t xml:space="preserve">tegevuse </w:t>
      </w:r>
      <w:r w:rsidR="00E26087" w:rsidRPr="0047628D">
        <w:rPr>
          <w:bCs/>
          <w:color w:val="000000" w:themeColor="text1"/>
          <w:sz w:val="24"/>
          <w:szCs w:val="24"/>
        </w:rPr>
        <w:t xml:space="preserve">täielikku </w:t>
      </w:r>
      <w:r w:rsidRPr="0047628D">
        <w:rPr>
          <w:bCs/>
          <w:color w:val="000000" w:themeColor="text1"/>
          <w:sz w:val="24"/>
          <w:szCs w:val="24"/>
        </w:rPr>
        <w:t xml:space="preserve">ümberkorraldamist. </w:t>
      </w:r>
      <w:r w:rsidR="00E26087" w:rsidRPr="0047628D">
        <w:rPr>
          <w:bCs/>
          <w:color w:val="000000" w:themeColor="text1"/>
          <w:sz w:val="24"/>
          <w:szCs w:val="24"/>
        </w:rPr>
        <w:t xml:space="preserve">Koda on avalik-õiguslik juriidiline isik, mis tegutseb alates 1. jaanuarist 2010 kohtutäituri seaduse alusel. </w:t>
      </w:r>
      <w:r w:rsidR="00E26087" w:rsidRPr="0047628D">
        <w:rPr>
          <w:color w:val="000000" w:themeColor="text1"/>
          <w:sz w:val="24"/>
          <w:szCs w:val="24"/>
          <w:shd w:val="clear" w:color="auto" w:fill="FFFFFF"/>
        </w:rPr>
        <w:t>Koja liikmeteks on kõik kohtutäiturid ja pankrotihaldurina tegutsemise õigust omavad isikud, sh vandeadvokaadid</w:t>
      </w:r>
      <w:r w:rsidR="0047628D" w:rsidRPr="0047628D">
        <w:rPr>
          <w:color w:val="000000" w:themeColor="text1"/>
          <w:sz w:val="24"/>
          <w:szCs w:val="24"/>
          <w:shd w:val="clear" w:color="auto" w:fill="FFFFFF"/>
        </w:rPr>
        <w:t>, kellele laienevad omakorda advokatuuri seaduse sätted</w:t>
      </w:r>
      <w:r w:rsidR="00E26087" w:rsidRPr="0047628D">
        <w:rPr>
          <w:color w:val="000000" w:themeColor="text1"/>
          <w:sz w:val="24"/>
          <w:szCs w:val="24"/>
          <w:shd w:val="clear" w:color="auto" w:fill="FFFFFF"/>
        </w:rPr>
        <w:t xml:space="preserve">. Käesoleva arvamuse koostajad leiavad, et selliste põhimõtteliste muudatuste tegemiseks ei piisa MJT </w:t>
      </w:r>
      <w:r w:rsidR="0047628D" w:rsidRPr="0047628D">
        <w:rPr>
          <w:color w:val="000000" w:themeColor="text1"/>
          <w:sz w:val="24"/>
          <w:szCs w:val="24"/>
          <w:shd w:val="clear" w:color="auto" w:fill="FFFFFF"/>
        </w:rPr>
        <w:t xml:space="preserve">aruandes </w:t>
      </w:r>
      <w:r w:rsidR="00E26087" w:rsidRPr="0047628D">
        <w:rPr>
          <w:color w:val="000000" w:themeColor="text1"/>
          <w:sz w:val="24"/>
          <w:szCs w:val="24"/>
          <w:shd w:val="clear" w:color="auto" w:fill="FFFFFF"/>
        </w:rPr>
        <w:t xml:space="preserve">toodud informatsioonist ning </w:t>
      </w:r>
      <w:r w:rsidR="0047628D" w:rsidRPr="0047628D">
        <w:rPr>
          <w:color w:val="000000" w:themeColor="text1"/>
          <w:sz w:val="24"/>
          <w:szCs w:val="24"/>
          <w:shd w:val="clear" w:color="auto" w:fill="FFFFFF"/>
        </w:rPr>
        <w:t xml:space="preserve">pankrotihaldurite ja Koja regulatsiooni põhimõtteliseks muutmiseks on vajalik </w:t>
      </w:r>
      <w:r w:rsidR="00E26087" w:rsidRPr="0047628D">
        <w:rPr>
          <w:color w:val="000000" w:themeColor="text1"/>
          <w:sz w:val="24"/>
          <w:szCs w:val="24"/>
          <w:shd w:val="clear" w:color="auto" w:fill="FFFFFF"/>
        </w:rPr>
        <w:t xml:space="preserve">täiendav analüüs kõikide maksejõuetuse menetluse aspektist. </w:t>
      </w:r>
    </w:p>
    <w:p w14:paraId="0063B0EF" w14:textId="2C423A82" w:rsidR="0047628D" w:rsidRPr="0047628D" w:rsidRDefault="0047628D" w:rsidP="0047628D">
      <w:pPr>
        <w:pStyle w:val="Loendilik"/>
        <w:jc w:val="both"/>
        <w:rPr>
          <w:bCs/>
          <w:sz w:val="24"/>
          <w:szCs w:val="24"/>
        </w:rPr>
      </w:pPr>
    </w:p>
    <w:p w14:paraId="77E20616" w14:textId="376B80E0" w:rsidR="0021201A" w:rsidRDefault="0047628D" w:rsidP="00CF50AE">
      <w:pPr>
        <w:pStyle w:val="Loendilik"/>
        <w:numPr>
          <w:ilvl w:val="0"/>
          <w:numId w:val="16"/>
        </w:numPr>
        <w:jc w:val="both"/>
        <w:rPr>
          <w:bCs/>
          <w:color w:val="000000" w:themeColor="text1"/>
          <w:sz w:val="24"/>
          <w:szCs w:val="24"/>
        </w:rPr>
      </w:pPr>
      <w:r w:rsidRPr="00117114">
        <w:rPr>
          <w:bCs/>
          <w:color w:val="000000" w:themeColor="text1"/>
          <w:sz w:val="24"/>
          <w:szCs w:val="24"/>
        </w:rPr>
        <w:t>Isegi juhul, kui MJT aruandes loetletud Koja rikkumised on tõesed, siis ei õigusta sellised rikkumised toimiva süsteemi täielikku muutmist.</w:t>
      </w:r>
      <w:r w:rsidR="0021201A" w:rsidRPr="00117114">
        <w:rPr>
          <w:bCs/>
          <w:color w:val="000000" w:themeColor="text1"/>
          <w:sz w:val="24"/>
          <w:szCs w:val="24"/>
        </w:rPr>
        <w:t xml:space="preserve"> Koja ülesannete ümbertõstmine uuele organile ei lahenda väidetavaid sisulisi probleeme. Sisuliste probleemide lahendamiseks </w:t>
      </w:r>
      <w:r w:rsidR="00FE5DA3" w:rsidRPr="00117114">
        <w:rPr>
          <w:bCs/>
          <w:color w:val="000000" w:themeColor="text1"/>
          <w:sz w:val="24"/>
          <w:szCs w:val="24"/>
        </w:rPr>
        <w:t xml:space="preserve">tuleb probleemid selgeks teha ja analüüsida, kuidas konkreetseid küsimusi on võimalik lahendada. </w:t>
      </w:r>
      <w:r w:rsidR="0021201A" w:rsidRPr="00117114">
        <w:rPr>
          <w:bCs/>
          <w:color w:val="000000" w:themeColor="text1"/>
          <w:sz w:val="24"/>
          <w:szCs w:val="24"/>
        </w:rPr>
        <w:t xml:space="preserve">Juhul, kui </w:t>
      </w:r>
      <w:r w:rsidR="00FE5DA3" w:rsidRPr="00117114">
        <w:rPr>
          <w:bCs/>
          <w:color w:val="000000" w:themeColor="text1"/>
          <w:sz w:val="24"/>
          <w:szCs w:val="24"/>
        </w:rPr>
        <w:t xml:space="preserve">konkreetsete küsimuste lahendamine on võimalik ilma toimivat süsteemi muutmata, siis tuleb eelistada toimiva süsteemi säilimist. </w:t>
      </w:r>
      <w:r w:rsidR="00117114">
        <w:rPr>
          <w:bCs/>
          <w:color w:val="000000" w:themeColor="text1"/>
          <w:sz w:val="24"/>
          <w:szCs w:val="24"/>
        </w:rPr>
        <w:t xml:space="preserve">Toimiva süsteemi muutmine toob kaasa täiendavaid küsimusi, mis vajavad lahendamist, sh rahalist ressurssi. </w:t>
      </w:r>
    </w:p>
    <w:p w14:paraId="7F347CA4" w14:textId="77777777" w:rsidR="00117114" w:rsidRPr="00117114" w:rsidRDefault="00117114" w:rsidP="00117114">
      <w:pPr>
        <w:pStyle w:val="Loendilik"/>
        <w:rPr>
          <w:bCs/>
          <w:color w:val="000000" w:themeColor="text1"/>
          <w:sz w:val="24"/>
          <w:szCs w:val="24"/>
        </w:rPr>
      </w:pPr>
    </w:p>
    <w:p w14:paraId="1F46EE66" w14:textId="4CA9E993" w:rsidR="00117114" w:rsidRDefault="00117114" w:rsidP="00CF50AE">
      <w:pPr>
        <w:pStyle w:val="Loendilik"/>
        <w:numPr>
          <w:ilvl w:val="0"/>
          <w:numId w:val="16"/>
        </w:numPr>
        <w:jc w:val="both"/>
        <w:rPr>
          <w:bCs/>
          <w:color w:val="000000" w:themeColor="text1"/>
          <w:sz w:val="24"/>
          <w:szCs w:val="24"/>
        </w:rPr>
      </w:pPr>
      <w:r>
        <w:rPr>
          <w:bCs/>
          <w:color w:val="000000" w:themeColor="text1"/>
          <w:sz w:val="24"/>
          <w:szCs w:val="24"/>
        </w:rPr>
        <w:t xml:space="preserve">Arvestades, et MJT ettepanek tähendab sisuliselt </w:t>
      </w:r>
      <w:r w:rsidRPr="0047628D">
        <w:rPr>
          <w:bCs/>
          <w:color w:val="000000" w:themeColor="text1"/>
          <w:sz w:val="24"/>
          <w:szCs w:val="24"/>
        </w:rPr>
        <w:t>pankrotihalduri õigusliku regulatsiooni ja Koja tegevuse täielikku ümberkorraldamist</w:t>
      </w:r>
      <w:r>
        <w:rPr>
          <w:bCs/>
          <w:color w:val="000000" w:themeColor="text1"/>
          <w:sz w:val="24"/>
          <w:szCs w:val="24"/>
        </w:rPr>
        <w:t xml:space="preserve">, ilma piisavate uuringute põhjendusteta, siis ei toeta arvamuse </w:t>
      </w:r>
      <w:r w:rsidRPr="004A5189">
        <w:rPr>
          <w:color w:val="202020"/>
          <w:sz w:val="24"/>
          <w:szCs w:val="24"/>
          <w:shd w:val="clear" w:color="auto" w:fill="FFFFFF"/>
        </w:rPr>
        <w:t xml:space="preserve">koostajad MJT </w:t>
      </w:r>
      <w:r w:rsidR="00E00871">
        <w:rPr>
          <w:color w:val="202020"/>
          <w:sz w:val="24"/>
          <w:szCs w:val="24"/>
          <w:shd w:val="clear" w:color="auto" w:fill="FFFFFF"/>
        </w:rPr>
        <w:t>kuuendat</w:t>
      </w:r>
      <w:r w:rsidRPr="004A5189">
        <w:rPr>
          <w:color w:val="202020"/>
          <w:sz w:val="24"/>
          <w:szCs w:val="24"/>
          <w:shd w:val="clear" w:color="auto" w:fill="FFFFFF"/>
        </w:rPr>
        <w:t xml:space="preserve"> ettepanekut</w:t>
      </w:r>
      <w:r w:rsidR="000D3672">
        <w:rPr>
          <w:color w:val="202020"/>
          <w:sz w:val="24"/>
          <w:szCs w:val="24"/>
          <w:shd w:val="clear" w:color="auto" w:fill="FFFFFF"/>
        </w:rPr>
        <w:t>.</w:t>
      </w:r>
    </w:p>
    <w:p w14:paraId="74826BBA" w14:textId="14C83F02" w:rsidR="00325D97" w:rsidRPr="00325D97" w:rsidRDefault="00325D97" w:rsidP="00325D97">
      <w:pPr>
        <w:jc w:val="both"/>
        <w:rPr>
          <w:b/>
          <w:sz w:val="24"/>
          <w:szCs w:val="24"/>
        </w:rPr>
      </w:pPr>
    </w:p>
    <w:p w14:paraId="617C8C35" w14:textId="774F2EB7" w:rsidR="00117114" w:rsidRDefault="00117114" w:rsidP="00325D97">
      <w:pPr>
        <w:pStyle w:val="Loendilik"/>
        <w:numPr>
          <w:ilvl w:val="0"/>
          <w:numId w:val="15"/>
        </w:numPr>
        <w:ind w:hanging="720"/>
        <w:jc w:val="both"/>
        <w:rPr>
          <w:b/>
          <w:sz w:val="24"/>
          <w:szCs w:val="24"/>
        </w:rPr>
      </w:pPr>
      <w:proofErr w:type="spellStart"/>
      <w:r>
        <w:rPr>
          <w:b/>
          <w:sz w:val="24"/>
          <w:szCs w:val="24"/>
        </w:rPr>
        <w:t>PankrS</w:t>
      </w:r>
      <w:proofErr w:type="spellEnd"/>
      <w:r>
        <w:rPr>
          <w:b/>
          <w:sz w:val="24"/>
          <w:szCs w:val="24"/>
        </w:rPr>
        <w:t xml:space="preserve"> §</w:t>
      </w:r>
      <w:r w:rsidR="003157F4">
        <w:rPr>
          <w:b/>
          <w:sz w:val="24"/>
          <w:szCs w:val="24"/>
        </w:rPr>
        <w:t>-s</w:t>
      </w:r>
      <w:r>
        <w:rPr>
          <w:b/>
          <w:sz w:val="24"/>
          <w:szCs w:val="24"/>
        </w:rPr>
        <w:t xml:space="preserve"> 54 nimetatud kutsetegevuse kandjate haldusjärelevalve koondamine MJT-</w:t>
      </w:r>
      <w:proofErr w:type="spellStart"/>
      <w:r>
        <w:rPr>
          <w:b/>
          <w:sz w:val="24"/>
          <w:szCs w:val="24"/>
        </w:rPr>
        <w:t>le</w:t>
      </w:r>
      <w:proofErr w:type="spellEnd"/>
    </w:p>
    <w:p w14:paraId="7E8A9BAD" w14:textId="77777777" w:rsidR="00117114" w:rsidRDefault="00117114" w:rsidP="00117114">
      <w:pPr>
        <w:jc w:val="both"/>
        <w:rPr>
          <w:bCs/>
          <w:sz w:val="24"/>
          <w:szCs w:val="24"/>
        </w:rPr>
      </w:pPr>
    </w:p>
    <w:p w14:paraId="4C86BEA5" w14:textId="1D2AE3BB" w:rsidR="000D3672" w:rsidRDefault="00117114" w:rsidP="00117114">
      <w:pPr>
        <w:pStyle w:val="Loendilik"/>
        <w:numPr>
          <w:ilvl w:val="0"/>
          <w:numId w:val="16"/>
        </w:numPr>
        <w:jc w:val="both"/>
        <w:rPr>
          <w:bCs/>
          <w:sz w:val="24"/>
          <w:szCs w:val="24"/>
        </w:rPr>
      </w:pPr>
      <w:proofErr w:type="spellStart"/>
      <w:r>
        <w:rPr>
          <w:bCs/>
          <w:sz w:val="24"/>
          <w:szCs w:val="24"/>
        </w:rPr>
        <w:t>PankrS</w:t>
      </w:r>
      <w:proofErr w:type="spellEnd"/>
      <w:r>
        <w:rPr>
          <w:bCs/>
          <w:sz w:val="24"/>
          <w:szCs w:val="24"/>
        </w:rPr>
        <w:t xml:space="preserve"> §-s 54 nimetatud kutsetegevuse kandjate järelevalve on reguleeritud erinevates seadustes, sh pankrotiseadus, saneerimisseadus ja </w:t>
      </w:r>
      <w:r w:rsidR="00E00871">
        <w:rPr>
          <w:bCs/>
          <w:sz w:val="24"/>
          <w:szCs w:val="24"/>
        </w:rPr>
        <w:t>füüsilise isiku maksejõuetuse seaduses</w:t>
      </w:r>
      <w:r>
        <w:rPr>
          <w:bCs/>
          <w:sz w:val="24"/>
          <w:szCs w:val="24"/>
        </w:rPr>
        <w:t xml:space="preserve">, mistõttu on nimetatud isikute tegevuse järelevalve oluliselt laiem küsimus, kui MJT ettepaneku punktis 7 märgitud. Järelevalve moodustab </w:t>
      </w:r>
      <w:r w:rsidR="000D3672">
        <w:rPr>
          <w:bCs/>
          <w:sz w:val="24"/>
          <w:szCs w:val="24"/>
        </w:rPr>
        <w:t xml:space="preserve">terviksüsteemi vastavalt </w:t>
      </w:r>
      <w:r>
        <w:rPr>
          <w:bCs/>
          <w:sz w:val="24"/>
          <w:szCs w:val="24"/>
        </w:rPr>
        <w:t>iga</w:t>
      </w:r>
      <w:r w:rsidR="000D3672">
        <w:rPr>
          <w:bCs/>
          <w:sz w:val="24"/>
          <w:szCs w:val="24"/>
        </w:rPr>
        <w:t>le</w:t>
      </w:r>
      <w:r>
        <w:rPr>
          <w:bCs/>
          <w:sz w:val="24"/>
          <w:szCs w:val="24"/>
        </w:rPr>
        <w:t xml:space="preserve"> menetluse liigi</w:t>
      </w:r>
      <w:r w:rsidR="000D3672">
        <w:rPr>
          <w:bCs/>
          <w:sz w:val="24"/>
          <w:szCs w:val="24"/>
        </w:rPr>
        <w:t>le</w:t>
      </w:r>
      <w:r>
        <w:rPr>
          <w:bCs/>
          <w:sz w:val="24"/>
          <w:szCs w:val="24"/>
        </w:rPr>
        <w:t xml:space="preserve">, sh pankrotimenetluses, saneerimise menetluses, võlgade ümberkujundamise menetluses ja kohustustest vabastamise </w:t>
      </w:r>
      <w:proofErr w:type="spellStart"/>
      <w:r>
        <w:rPr>
          <w:bCs/>
          <w:sz w:val="24"/>
          <w:szCs w:val="24"/>
        </w:rPr>
        <w:t>menetlluses</w:t>
      </w:r>
      <w:proofErr w:type="spellEnd"/>
      <w:r w:rsidR="000D3672">
        <w:rPr>
          <w:bCs/>
          <w:sz w:val="24"/>
          <w:szCs w:val="24"/>
        </w:rPr>
        <w:t xml:space="preserve">. </w:t>
      </w:r>
    </w:p>
    <w:p w14:paraId="0D0800D9" w14:textId="189D9AFD" w:rsidR="000D3672" w:rsidRDefault="000D3672" w:rsidP="000D3672">
      <w:pPr>
        <w:pStyle w:val="Loendilik"/>
        <w:jc w:val="both"/>
        <w:rPr>
          <w:bCs/>
          <w:sz w:val="24"/>
          <w:szCs w:val="24"/>
        </w:rPr>
      </w:pPr>
    </w:p>
    <w:p w14:paraId="2B2A364D" w14:textId="63D3F3B9" w:rsidR="00117114" w:rsidRDefault="000D3672" w:rsidP="00117114">
      <w:pPr>
        <w:pStyle w:val="Loendilik"/>
        <w:numPr>
          <w:ilvl w:val="0"/>
          <w:numId w:val="16"/>
        </w:numPr>
        <w:jc w:val="both"/>
        <w:rPr>
          <w:bCs/>
          <w:sz w:val="24"/>
          <w:szCs w:val="24"/>
        </w:rPr>
      </w:pPr>
      <w:r>
        <w:rPr>
          <w:bCs/>
          <w:sz w:val="24"/>
          <w:szCs w:val="24"/>
        </w:rPr>
        <w:t>Järelevalve terviksüsteemi lõhkumine MJT aruandes toodud põhjustel ei ole põhjendatud ega vajalik. Järelevalve terviklahenduse muutmiseks on vajalik eelnev põhjalik analüüs, mis hõlmab kõiki maksejõuetuse menetlusi. Kuivõrd maksejõuetuse menetluste järelevalve moodustab terviksüsteemi, siis nimetatud süsteemi tükkideks lõhkumiseks peavad olema kaalukad põhjused, mis tuginevad põhjalikel uuringutel.</w:t>
      </w:r>
    </w:p>
    <w:p w14:paraId="196F781D" w14:textId="77777777" w:rsidR="000D3672" w:rsidRPr="000D3672" w:rsidRDefault="000D3672" w:rsidP="000D3672">
      <w:pPr>
        <w:pStyle w:val="Loendilik"/>
        <w:rPr>
          <w:bCs/>
          <w:sz w:val="24"/>
          <w:szCs w:val="24"/>
        </w:rPr>
      </w:pPr>
    </w:p>
    <w:p w14:paraId="780700C1" w14:textId="116F416C" w:rsidR="000D3672" w:rsidRDefault="000D3672" w:rsidP="00117114">
      <w:pPr>
        <w:pStyle w:val="Loendilik"/>
        <w:numPr>
          <w:ilvl w:val="0"/>
          <w:numId w:val="16"/>
        </w:numPr>
        <w:jc w:val="both"/>
        <w:rPr>
          <w:bCs/>
          <w:sz w:val="24"/>
          <w:szCs w:val="24"/>
        </w:rPr>
      </w:pPr>
      <w:r>
        <w:rPr>
          <w:bCs/>
          <w:sz w:val="24"/>
          <w:szCs w:val="24"/>
        </w:rPr>
        <w:t>Arvamuse koostajad ei ole veendunud, et üheaastane MJT tegevus annab MJT-</w:t>
      </w:r>
      <w:proofErr w:type="spellStart"/>
      <w:r>
        <w:rPr>
          <w:bCs/>
          <w:sz w:val="24"/>
          <w:szCs w:val="24"/>
        </w:rPr>
        <w:t>le</w:t>
      </w:r>
      <w:proofErr w:type="spellEnd"/>
      <w:r>
        <w:rPr>
          <w:bCs/>
          <w:sz w:val="24"/>
          <w:szCs w:val="24"/>
        </w:rPr>
        <w:t xml:space="preserve"> piisava kogemuse ja pädevuse teostada järelevalvet, sh väidetavat haldusjärelevalvet </w:t>
      </w:r>
      <w:proofErr w:type="spellStart"/>
      <w:r>
        <w:rPr>
          <w:bCs/>
          <w:sz w:val="24"/>
          <w:szCs w:val="24"/>
        </w:rPr>
        <w:t>PankrS</w:t>
      </w:r>
      <w:proofErr w:type="spellEnd"/>
      <w:r>
        <w:rPr>
          <w:bCs/>
          <w:sz w:val="24"/>
          <w:szCs w:val="24"/>
        </w:rPr>
        <w:t xml:space="preserve"> §-s 54 nimetatud kutsetegevuse kandjate üle MJT ettepanekus esitatud viisil ja korras.</w:t>
      </w:r>
    </w:p>
    <w:p w14:paraId="3FB4ECD7" w14:textId="77777777" w:rsidR="000D3672" w:rsidRPr="000D3672" w:rsidRDefault="000D3672" w:rsidP="000D3672">
      <w:pPr>
        <w:pStyle w:val="Loendilik"/>
        <w:rPr>
          <w:bCs/>
          <w:sz w:val="24"/>
          <w:szCs w:val="24"/>
        </w:rPr>
      </w:pPr>
    </w:p>
    <w:p w14:paraId="4E56F0E9" w14:textId="61BBF91B" w:rsidR="00117114" w:rsidRPr="000D3672" w:rsidRDefault="000D3672" w:rsidP="00117114">
      <w:pPr>
        <w:pStyle w:val="Loendilik"/>
        <w:numPr>
          <w:ilvl w:val="0"/>
          <w:numId w:val="16"/>
        </w:numPr>
        <w:jc w:val="both"/>
        <w:rPr>
          <w:bCs/>
          <w:sz w:val="24"/>
          <w:szCs w:val="24"/>
        </w:rPr>
      </w:pPr>
      <w:r>
        <w:rPr>
          <w:bCs/>
          <w:sz w:val="24"/>
          <w:szCs w:val="24"/>
        </w:rPr>
        <w:t xml:space="preserve">Tuginedes ülaltoodule ei toeta </w:t>
      </w:r>
      <w:r>
        <w:rPr>
          <w:bCs/>
          <w:color w:val="000000" w:themeColor="text1"/>
          <w:sz w:val="24"/>
          <w:szCs w:val="24"/>
        </w:rPr>
        <w:t xml:space="preserve">arvamuse </w:t>
      </w:r>
      <w:r w:rsidRPr="004A5189">
        <w:rPr>
          <w:color w:val="202020"/>
          <w:sz w:val="24"/>
          <w:szCs w:val="24"/>
          <w:shd w:val="clear" w:color="auto" w:fill="FFFFFF"/>
        </w:rPr>
        <w:t xml:space="preserve">koostajad MJT </w:t>
      </w:r>
      <w:r w:rsidR="00E00871">
        <w:rPr>
          <w:color w:val="202020"/>
          <w:sz w:val="24"/>
          <w:szCs w:val="24"/>
          <w:shd w:val="clear" w:color="auto" w:fill="FFFFFF"/>
        </w:rPr>
        <w:t>seitsmendat</w:t>
      </w:r>
      <w:r w:rsidRPr="004A5189">
        <w:rPr>
          <w:color w:val="202020"/>
          <w:sz w:val="24"/>
          <w:szCs w:val="24"/>
          <w:shd w:val="clear" w:color="auto" w:fill="FFFFFF"/>
        </w:rPr>
        <w:t xml:space="preserve"> ettepanekut</w:t>
      </w:r>
      <w:r>
        <w:rPr>
          <w:color w:val="202020"/>
          <w:sz w:val="24"/>
          <w:szCs w:val="24"/>
          <w:shd w:val="clear" w:color="auto" w:fill="FFFFFF"/>
        </w:rPr>
        <w:t>.</w:t>
      </w:r>
    </w:p>
    <w:p w14:paraId="55237DC9" w14:textId="77777777" w:rsidR="00117114" w:rsidRPr="00117114" w:rsidRDefault="00117114" w:rsidP="00117114">
      <w:pPr>
        <w:jc w:val="both"/>
        <w:rPr>
          <w:bCs/>
          <w:sz w:val="24"/>
          <w:szCs w:val="24"/>
        </w:rPr>
      </w:pPr>
    </w:p>
    <w:p w14:paraId="0BE369E0" w14:textId="23F3669C" w:rsidR="00325D97" w:rsidRDefault="000D3672" w:rsidP="00325D97">
      <w:pPr>
        <w:pStyle w:val="Loendilik"/>
        <w:numPr>
          <w:ilvl w:val="0"/>
          <w:numId w:val="15"/>
        </w:numPr>
        <w:ind w:hanging="720"/>
        <w:jc w:val="both"/>
        <w:rPr>
          <w:b/>
          <w:sz w:val="24"/>
          <w:szCs w:val="24"/>
        </w:rPr>
      </w:pPr>
      <w:r>
        <w:rPr>
          <w:b/>
          <w:sz w:val="24"/>
          <w:szCs w:val="24"/>
        </w:rPr>
        <w:t>Käitumisreeglite, hea tava ja eetikakoodeks</w:t>
      </w:r>
    </w:p>
    <w:p w14:paraId="0BB43DD5" w14:textId="70D926F3" w:rsidR="003157F4" w:rsidRPr="003157F4" w:rsidRDefault="003157F4" w:rsidP="003157F4">
      <w:pPr>
        <w:jc w:val="both"/>
        <w:rPr>
          <w:bCs/>
          <w:sz w:val="24"/>
          <w:szCs w:val="24"/>
        </w:rPr>
      </w:pPr>
    </w:p>
    <w:p w14:paraId="194B7B3E" w14:textId="77777777" w:rsidR="00E00871" w:rsidRDefault="003157F4" w:rsidP="00E00871">
      <w:pPr>
        <w:pStyle w:val="Loendilik"/>
        <w:numPr>
          <w:ilvl w:val="0"/>
          <w:numId w:val="16"/>
        </w:numPr>
        <w:contextualSpacing w:val="0"/>
        <w:jc w:val="both"/>
        <w:rPr>
          <w:bCs/>
          <w:sz w:val="24"/>
          <w:szCs w:val="24"/>
        </w:rPr>
      </w:pPr>
      <w:r>
        <w:rPr>
          <w:bCs/>
          <w:sz w:val="24"/>
          <w:szCs w:val="24"/>
        </w:rPr>
        <w:lastRenderedPageBreak/>
        <w:t xml:space="preserve">Ühtsete käitumisreeglite ja eetikakoodeksi kehtestamine on reeglina vajalik ja põhjendatud. Samas jääb arusaamatuks sellise üksikküsimuse lahendamine kõikide maksejõuetuse menetluste kontekstis. </w:t>
      </w:r>
    </w:p>
    <w:p w14:paraId="110F4085" w14:textId="77777777" w:rsidR="00E00871" w:rsidRDefault="00E00871" w:rsidP="00E00871">
      <w:pPr>
        <w:pStyle w:val="Loendilik"/>
        <w:contextualSpacing w:val="0"/>
        <w:jc w:val="both"/>
        <w:rPr>
          <w:bCs/>
          <w:sz w:val="24"/>
          <w:szCs w:val="24"/>
        </w:rPr>
      </w:pPr>
    </w:p>
    <w:p w14:paraId="27CA995A" w14:textId="132BFB11" w:rsidR="003157F4" w:rsidRPr="00E00871" w:rsidRDefault="003157F4" w:rsidP="00E00871">
      <w:pPr>
        <w:pStyle w:val="Loendilik"/>
        <w:numPr>
          <w:ilvl w:val="0"/>
          <w:numId w:val="16"/>
        </w:numPr>
        <w:contextualSpacing w:val="0"/>
        <w:jc w:val="both"/>
        <w:rPr>
          <w:bCs/>
          <w:sz w:val="24"/>
          <w:szCs w:val="24"/>
        </w:rPr>
      </w:pPr>
      <w:r w:rsidRPr="00E00871">
        <w:rPr>
          <w:bCs/>
          <w:sz w:val="24"/>
          <w:szCs w:val="24"/>
        </w:rPr>
        <w:t xml:space="preserve">Näiteks on Koda kehtestanud 30. juunil 2022. a pankrotihaldurite hea kutsetava. </w:t>
      </w:r>
    </w:p>
    <w:p w14:paraId="00B3E5E3" w14:textId="77777777" w:rsidR="003157F4" w:rsidRPr="003157F4" w:rsidRDefault="003157F4" w:rsidP="00E00871">
      <w:pPr>
        <w:pStyle w:val="Loendilik"/>
        <w:contextualSpacing w:val="0"/>
        <w:rPr>
          <w:bCs/>
          <w:sz w:val="24"/>
          <w:szCs w:val="24"/>
        </w:rPr>
      </w:pPr>
    </w:p>
    <w:p w14:paraId="5B1B9489" w14:textId="3EE9A4F4" w:rsidR="003157F4" w:rsidRPr="003157F4" w:rsidRDefault="003157F4" w:rsidP="00E00871">
      <w:pPr>
        <w:pStyle w:val="Loendilik"/>
        <w:numPr>
          <w:ilvl w:val="0"/>
          <w:numId w:val="16"/>
        </w:numPr>
        <w:contextualSpacing w:val="0"/>
        <w:jc w:val="both"/>
        <w:rPr>
          <w:bCs/>
          <w:sz w:val="24"/>
          <w:szCs w:val="24"/>
        </w:rPr>
      </w:pPr>
      <w:r>
        <w:rPr>
          <w:bCs/>
          <w:sz w:val="24"/>
          <w:szCs w:val="24"/>
        </w:rPr>
        <w:t xml:space="preserve">Arvamuse koostajad toetavad ühtse hea tava ja eetikakoodeksite reeglite koostamist kõigis maksejõuetuse </w:t>
      </w:r>
      <w:proofErr w:type="spellStart"/>
      <w:r>
        <w:rPr>
          <w:bCs/>
          <w:sz w:val="24"/>
          <w:szCs w:val="24"/>
        </w:rPr>
        <w:t>menetluseses</w:t>
      </w:r>
      <w:proofErr w:type="spellEnd"/>
      <w:r>
        <w:rPr>
          <w:bCs/>
          <w:sz w:val="24"/>
          <w:szCs w:val="24"/>
        </w:rPr>
        <w:t xml:space="preserve"> korraga. Ühtse hea tava ja eetikakoodeksite reeglite kehtestamine peab olem süsteemne ja tervik, mistõttu toetavad arvamuse koostajad MJT </w:t>
      </w:r>
      <w:r w:rsidR="00E00871">
        <w:rPr>
          <w:bCs/>
          <w:sz w:val="24"/>
          <w:szCs w:val="24"/>
        </w:rPr>
        <w:t>kaheksandat</w:t>
      </w:r>
      <w:r>
        <w:rPr>
          <w:bCs/>
          <w:sz w:val="24"/>
          <w:szCs w:val="24"/>
        </w:rPr>
        <w:t xml:space="preserve"> ettepanekut osaliselt</w:t>
      </w:r>
      <w:r w:rsidR="004B634F">
        <w:rPr>
          <w:bCs/>
          <w:sz w:val="24"/>
          <w:szCs w:val="24"/>
        </w:rPr>
        <w:t>.</w:t>
      </w:r>
    </w:p>
    <w:p w14:paraId="299849CB" w14:textId="77777777" w:rsidR="000D3672" w:rsidRPr="000D3672" w:rsidRDefault="000D3672" w:rsidP="000D3672">
      <w:pPr>
        <w:jc w:val="both"/>
        <w:rPr>
          <w:bCs/>
          <w:sz w:val="24"/>
          <w:szCs w:val="24"/>
        </w:rPr>
      </w:pPr>
    </w:p>
    <w:p w14:paraId="675B1A23" w14:textId="3B983835" w:rsidR="000D3672" w:rsidRDefault="003157F4" w:rsidP="00325D97">
      <w:pPr>
        <w:pStyle w:val="Loendilik"/>
        <w:numPr>
          <w:ilvl w:val="0"/>
          <w:numId w:val="15"/>
        </w:numPr>
        <w:ind w:hanging="720"/>
        <w:jc w:val="both"/>
        <w:rPr>
          <w:b/>
          <w:sz w:val="24"/>
          <w:szCs w:val="24"/>
        </w:rPr>
      </w:pPr>
      <w:r>
        <w:rPr>
          <w:b/>
          <w:sz w:val="24"/>
          <w:szCs w:val="24"/>
        </w:rPr>
        <w:t xml:space="preserve">Ühtlustada </w:t>
      </w:r>
      <w:proofErr w:type="spellStart"/>
      <w:r>
        <w:rPr>
          <w:b/>
          <w:sz w:val="24"/>
          <w:szCs w:val="24"/>
        </w:rPr>
        <w:t>PankrS</w:t>
      </w:r>
      <w:proofErr w:type="spellEnd"/>
      <w:r>
        <w:rPr>
          <w:b/>
          <w:sz w:val="24"/>
          <w:szCs w:val="24"/>
        </w:rPr>
        <w:t xml:space="preserve"> §-s 54 nimetatud kutsetegevuse kandjate asjaajamise reeglid</w:t>
      </w:r>
    </w:p>
    <w:p w14:paraId="3B1C78D2" w14:textId="0E455FD0" w:rsidR="000D3672" w:rsidRPr="003157F4" w:rsidRDefault="000D3672" w:rsidP="000D3672">
      <w:pPr>
        <w:jc w:val="both"/>
        <w:rPr>
          <w:bCs/>
          <w:sz w:val="24"/>
          <w:szCs w:val="24"/>
        </w:rPr>
      </w:pPr>
    </w:p>
    <w:p w14:paraId="3FB404CE" w14:textId="0B6A2961" w:rsidR="000D3672" w:rsidRDefault="003157F4" w:rsidP="003157F4">
      <w:pPr>
        <w:pStyle w:val="Loendilik"/>
        <w:numPr>
          <w:ilvl w:val="0"/>
          <w:numId w:val="16"/>
        </w:numPr>
        <w:jc w:val="both"/>
        <w:rPr>
          <w:bCs/>
          <w:sz w:val="24"/>
          <w:szCs w:val="24"/>
        </w:rPr>
      </w:pPr>
      <w:r>
        <w:rPr>
          <w:bCs/>
          <w:sz w:val="24"/>
          <w:szCs w:val="24"/>
        </w:rPr>
        <w:t xml:space="preserve">Vastavalt </w:t>
      </w:r>
      <w:proofErr w:type="spellStart"/>
      <w:r>
        <w:rPr>
          <w:bCs/>
          <w:sz w:val="24"/>
          <w:szCs w:val="24"/>
        </w:rPr>
        <w:t>PankrS</w:t>
      </w:r>
      <w:proofErr w:type="spellEnd"/>
      <w:r>
        <w:rPr>
          <w:bCs/>
          <w:sz w:val="24"/>
          <w:szCs w:val="24"/>
        </w:rPr>
        <w:t xml:space="preserve"> § 60 </w:t>
      </w:r>
      <w:proofErr w:type="spellStart"/>
      <w:r>
        <w:rPr>
          <w:bCs/>
          <w:sz w:val="24"/>
          <w:szCs w:val="24"/>
        </w:rPr>
        <w:t>lg-le</w:t>
      </w:r>
      <w:proofErr w:type="spellEnd"/>
      <w:r>
        <w:rPr>
          <w:bCs/>
          <w:sz w:val="24"/>
          <w:szCs w:val="24"/>
        </w:rPr>
        <w:t xml:space="preserve"> 1 kehtestab justiitsminister määrusega nõuded pankrotihalduri toimikule ja pankrotimenetluses koostavatele dokumentidele. Nimetatud normi alusel on justiitsministri 30. detsembri 2009. a määrusega nr 48 kehtestanud vastavad reeglid. </w:t>
      </w:r>
    </w:p>
    <w:p w14:paraId="6C1B8095" w14:textId="3238C0A7" w:rsidR="003157F4" w:rsidRDefault="003157F4" w:rsidP="003157F4">
      <w:pPr>
        <w:pStyle w:val="Loendilik"/>
        <w:jc w:val="both"/>
        <w:rPr>
          <w:bCs/>
          <w:sz w:val="24"/>
          <w:szCs w:val="24"/>
        </w:rPr>
      </w:pPr>
    </w:p>
    <w:p w14:paraId="23D198FA" w14:textId="1B68E797" w:rsidR="003157F4" w:rsidRDefault="003157F4" w:rsidP="003157F4">
      <w:pPr>
        <w:pStyle w:val="Loendilik"/>
        <w:numPr>
          <w:ilvl w:val="0"/>
          <w:numId w:val="16"/>
        </w:numPr>
        <w:jc w:val="both"/>
        <w:rPr>
          <w:bCs/>
          <w:sz w:val="24"/>
          <w:szCs w:val="24"/>
        </w:rPr>
      </w:pPr>
      <w:r>
        <w:rPr>
          <w:bCs/>
          <w:sz w:val="24"/>
          <w:szCs w:val="24"/>
        </w:rPr>
        <w:t xml:space="preserve">Arvamuse koostajad nõustuvad, et kehtestatud reeglid võib üle vaadata ja kaasajastada. Samas oleme jätkuvalt seisukohal, et sellised reeglid peavad olema välja töötatud </w:t>
      </w:r>
      <w:r w:rsidR="004B634F">
        <w:rPr>
          <w:bCs/>
          <w:sz w:val="24"/>
          <w:szCs w:val="24"/>
        </w:rPr>
        <w:t xml:space="preserve">arvestades </w:t>
      </w:r>
      <w:r>
        <w:rPr>
          <w:bCs/>
          <w:sz w:val="24"/>
          <w:szCs w:val="24"/>
        </w:rPr>
        <w:t xml:space="preserve">kõiki maksejõuetuse menetlusi </w:t>
      </w:r>
      <w:r w:rsidR="004B634F">
        <w:rPr>
          <w:bCs/>
          <w:sz w:val="24"/>
          <w:szCs w:val="24"/>
        </w:rPr>
        <w:t xml:space="preserve">tervikuna. </w:t>
      </w:r>
    </w:p>
    <w:p w14:paraId="5FA293B4" w14:textId="77777777" w:rsidR="004B634F" w:rsidRPr="004B634F" w:rsidRDefault="004B634F" w:rsidP="004B634F">
      <w:pPr>
        <w:pStyle w:val="Loendilik"/>
        <w:rPr>
          <w:bCs/>
          <w:sz w:val="24"/>
          <w:szCs w:val="24"/>
        </w:rPr>
      </w:pPr>
    </w:p>
    <w:p w14:paraId="05B72F69" w14:textId="7DBC26BD" w:rsidR="004B634F" w:rsidRPr="004B634F" w:rsidRDefault="004B634F" w:rsidP="004B634F">
      <w:pPr>
        <w:pStyle w:val="Loendilik"/>
        <w:numPr>
          <w:ilvl w:val="0"/>
          <w:numId w:val="16"/>
        </w:numPr>
        <w:jc w:val="both"/>
        <w:rPr>
          <w:bCs/>
          <w:sz w:val="24"/>
          <w:szCs w:val="24"/>
        </w:rPr>
      </w:pPr>
      <w:r>
        <w:rPr>
          <w:bCs/>
          <w:sz w:val="24"/>
          <w:szCs w:val="24"/>
        </w:rPr>
        <w:t xml:space="preserve">Kuivõrd vastavate reeglite muutmine peab olema süsteemne ja terviklik, siis toetavad arvamuse koostajad MJT </w:t>
      </w:r>
      <w:r w:rsidR="00E00871">
        <w:rPr>
          <w:bCs/>
          <w:sz w:val="24"/>
          <w:szCs w:val="24"/>
        </w:rPr>
        <w:t>üheksandat</w:t>
      </w:r>
      <w:r>
        <w:rPr>
          <w:bCs/>
          <w:sz w:val="24"/>
          <w:szCs w:val="24"/>
        </w:rPr>
        <w:t xml:space="preserve"> ettepanekut osaliselt</w:t>
      </w:r>
      <w:r w:rsidRPr="004B634F">
        <w:rPr>
          <w:bCs/>
          <w:sz w:val="24"/>
          <w:szCs w:val="24"/>
        </w:rPr>
        <w:t xml:space="preserve">. </w:t>
      </w:r>
    </w:p>
    <w:p w14:paraId="3A07925A" w14:textId="77777777" w:rsidR="000D3672" w:rsidRPr="003157F4" w:rsidRDefault="000D3672" w:rsidP="000D3672">
      <w:pPr>
        <w:jc w:val="both"/>
        <w:rPr>
          <w:bCs/>
          <w:sz w:val="24"/>
          <w:szCs w:val="24"/>
        </w:rPr>
      </w:pPr>
    </w:p>
    <w:p w14:paraId="4E991E2B" w14:textId="636FC721" w:rsidR="000D3672" w:rsidRDefault="004B634F" w:rsidP="00325D97">
      <w:pPr>
        <w:pStyle w:val="Loendilik"/>
        <w:numPr>
          <w:ilvl w:val="0"/>
          <w:numId w:val="15"/>
        </w:numPr>
        <w:ind w:hanging="720"/>
        <w:jc w:val="both"/>
        <w:rPr>
          <w:b/>
          <w:sz w:val="24"/>
          <w:szCs w:val="24"/>
        </w:rPr>
      </w:pPr>
      <w:r>
        <w:rPr>
          <w:b/>
          <w:sz w:val="24"/>
          <w:szCs w:val="24"/>
        </w:rPr>
        <w:t>Üksnes maksejõuetusasjadele spetsialiseerunud kohtunike maksejõuetuse osakond</w:t>
      </w:r>
    </w:p>
    <w:p w14:paraId="2A72E6A6" w14:textId="77777777" w:rsidR="004B634F" w:rsidRDefault="004B634F" w:rsidP="004B634F">
      <w:pPr>
        <w:jc w:val="both"/>
        <w:rPr>
          <w:b/>
          <w:sz w:val="24"/>
          <w:szCs w:val="24"/>
        </w:rPr>
      </w:pPr>
    </w:p>
    <w:p w14:paraId="47148ABC" w14:textId="436F937C" w:rsidR="004B634F" w:rsidRDefault="004B634F" w:rsidP="004B634F">
      <w:pPr>
        <w:pStyle w:val="Loendilik"/>
        <w:numPr>
          <w:ilvl w:val="0"/>
          <w:numId w:val="16"/>
        </w:numPr>
        <w:jc w:val="both"/>
        <w:rPr>
          <w:bCs/>
          <w:sz w:val="24"/>
          <w:szCs w:val="24"/>
        </w:rPr>
      </w:pPr>
      <w:r>
        <w:rPr>
          <w:bCs/>
          <w:sz w:val="24"/>
          <w:szCs w:val="24"/>
        </w:rPr>
        <w:t xml:space="preserve">Vastavalt </w:t>
      </w:r>
      <w:proofErr w:type="spellStart"/>
      <w:r>
        <w:rPr>
          <w:bCs/>
          <w:sz w:val="24"/>
          <w:szCs w:val="24"/>
        </w:rPr>
        <w:t>PankrS</w:t>
      </w:r>
      <w:proofErr w:type="spellEnd"/>
      <w:r>
        <w:rPr>
          <w:bCs/>
          <w:sz w:val="24"/>
          <w:szCs w:val="24"/>
        </w:rPr>
        <w:t xml:space="preserve"> § 4 </w:t>
      </w:r>
      <w:proofErr w:type="spellStart"/>
      <w:r>
        <w:rPr>
          <w:bCs/>
          <w:sz w:val="24"/>
          <w:szCs w:val="24"/>
        </w:rPr>
        <w:t>lg-le</w:t>
      </w:r>
      <w:proofErr w:type="spellEnd"/>
      <w:r>
        <w:rPr>
          <w:bCs/>
          <w:sz w:val="24"/>
          <w:szCs w:val="24"/>
        </w:rPr>
        <w:t xml:space="preserve"> 2 menetletakse juriidiliste isikute maksejõuetuse menetlusi üksnes Harju ja Tartu Maakohtus. Tulenevalt kohute seaduse § 37 </w:t>
      </w:r>
      <w:proofErr w:type="spellStart"/>
      <w:r>
        <w:rPr>
          <w:bCs/>
          <w:sz w:val="24"/>
          <w:szCs w:val="24"/>
        </w:rPr>
        <w:t>lg-st</w:t>
      </w:r>
      <w:proofErr w:type="spellEnd"/>
      <w:r>
        <w:rPr>
          <w:bCs/>
          <w:sz w:val="24"/>
          <w:szCs w:val="24"/>
        </w:rPr>
        <w:t xml:space="preserve"> 4</w:t>
      </w:r>
      <w:r>
        <w:rPr>
          <w:bCs/>
          <w:sz w:val="24"/>
          <w:szCs w:val="24"/>
          <w:vertAlign w:val="superscript"/>
        </w:rPr>
        <w:t xml:space="preserve">1 </w:t>
      </w:r>
      <w:r>
        <w:rPr>
          <w:bCs/>
          <w:sz w:val="24"/>
          <w:szCs w:val="24"/>
        </w:rPr>
        <w:t xml:space="preserve"> vaat</w:t>
      </w:r>
      <w:r w:rsidR="00E00871">
        <w:rPr>
          <w:bCs/>
          <w:sz w:val="24"/>
          <w:szCs w:val="24"/>
        </w:rPr>
        <w:t>a</w:t>
      </w:r>
      <w:r>
        <w:rPr>
          <w:bCs/>
          <w:sz w:val="24"/>
          <w:szCs w:val="24"/>
        </w:rPr>
        <w:t xml:space="preserve">vad maksejõuetuse menetlusi Harju ja Tartu Maakohtus läbi maksejõuetusele spetsialiseerunud kohtunikud. </w:t>
      </w:r>
    </w:p>
    <w:p w14:paraId="3080C8BD" w14:textId="160FED16" w:rsidR="004B634F" w:rsidRDefault="004B634F" w:rsidP="004B634F">
      <w:pPr>
        <w:pStyle w:val="Loendilik"/>
        <w:jc w:val="both"/>
        <w:rPr>
          <w:bCs/>
          <w:sz w:val="24"/>
          <w:szCs w:val="24"/>
        </w:rPr>
      </w:pPr>
    </w:p>
    <w:p w14:paraId="53296C6D" w14:textId="682E754C" w:rsidR="004B634F" w:rsidRDefault="004B634F" w:rsidP="004B634F">
      <w:pPr>
        <w:pStyle w:val="Loendilik"/>
        <w:numPr>
          <w:ilvl w:val="0"/>
          <w:numId w:val="16"/>
        </w:numPr>
        <w:jc w:val="both"/>
        <w:rPr>
          <w:bCs/>
          <w:sz w:val="24"/>
          <w:szCs w:val="24"/>
        </w:rPr>
      </w:pPr>
      <w:r>
        <w:rPr>
          <w:bCs/>
          <w:sz w:val="24"/>
          <w:szCs w:val="24"/>
        </w:rPr>
        <w:t xml:space="preserve">Lähtuvalt võimude lahususe põhimõttest on äärmiselt küsitav, kas justiitsministeeriumil on õigust korraldada kohtute ja/või kohtunike spetsialiseerumist MJT ettepanekus toodud viisil ja korras. </w:t>
      </w:r>
    </w:p>
    <w:p w14:paraId="5C4D1DDC" w14:textId="77777777" w:rsidR="007A0FFC" w:rsidRPr="007A0FFC" w:rsidRDefault="007A0FFC" w:rsidP="007A0FFC">
      <w:pPr>
        <w:pStyle w:val="Loendilik"/>
        <w:rPr>
          <w:bCs/>
          <w:sz w:val="24"/>
          <w:szCs w:val="24"/>
        </w:rPr>
      </w:pPr>
    </w:p>
    <w:p w14:paraId="657EABCB" w14:textId="2B8DDD1A" w:rsidR="007A0FFC" w:rsidRDefault="007A0FFC" w:rsidP="007A0FFC">
      <w:pPr>
        <w:pStyle w:val="Loendilik"/>
        <w:numPr>
          <w:ilvl w:val="0"/>
          <w:numId w:val="16"/>
        </w:numPr>
        <w:jc w:val="both"/>
        <w:rPr>
          <w:bCs/>
          <w:color w:val="000000" w:themeColor="text1"/>
          <w:sz w:val="24"/>
          <w:szCs w:val="24"/>
        </w:rPr>
      </w:pPr>
      <w:r>
        <w:rPr>
          <w:bCs/>
          <w:sz w:val="24"/>
          <w:szCs w:val="24"/>
        </w:rPr>
        <w:t xml:space="preserve">Arvestades, et hetkel juba lahendavad maksejõuetuse menetlusi maksejõuetusele spetsialiseerunud kohtunikud, siis </w:t>
      </w:r>
      <w:r>
        <w:rPr>
          <w:bCs/>
          <w:color w:val="000000" w:themeColor="text1"/>
          <w:sz w:val="24"/>
          <w:szCs w:val="24"/>
        </w:rPr>
        <w:t xml:space="preserve">ei toeta arvamuse </w:t>
      </w:r>
      <w:r w:rsidRPr="004A5189">
        <w:rPr>
          <w:color w:val="202020"/>
          <w:sz w:val="24"/>
          <w:szCs w:val="24"/>
          <w:shd w:val="clear" w:color="auto" w:fill="FFFFFF"/>
        </w:rPr>
        <w:t>koostajad MJT</w:t>
      </w:r>
      <w:r w:rsidR="00E00871">
        <w:rPr>
          <w:color w:val="202020"/>
          <w:sz w:val="24"/>
          <w:szCs w:val="24"/>
          <w:shd w:val="clear" w:color="auto" w:fill="FFFFFF"/>
        </w:rPr>
        <w:t xml:space="preserve"> kõnealust</w:t>
      </w:r>
      <w:r w:rsidRPr="004A5189">
        <w:rPr>
          <w:color w:val="202020"/>
          <w:sz w:val="24"/>
          <w:szCs w:val="24"/>
          <w:shd w:val="clear" w:color="auto" w:fill="FFFFFF"/>
        </w:rPr>
        <w:t xml:space="preserve"> ettepanekut</w:t>
      </w:r>
      <w:r>
        <w:rPr>
          <w:color w:val="202020"/>
          <w:sz w:val="24"/>
          <w:szCs w:val="24"/>
          <w:shd w:val="clear" w:color="auto" w:fill="FFFFFF"/>
        </w:rPr>
        <w:t>.</w:t>
      </w:r>
    </w:p>
    <w:p w14:paraId="14FA2AEA" w14:textId="32FCFB70" w:rsidR="007A0FFC" w:rsidRDefault="007A0FFC" w:rsidP="007A0FFC">
      <w:pPr>
        <w:jc w:val="both"/>
        <w:rPr>
          <w:bCs/>
          <w:sz w:val="24"/>
          <w:szCs w:val="24"/>
        </w:rPr>
      </w:pPr>
    </w:p>
    <w:p w14:paraId="05BA926E" w14:textId="77777777" w:rsidR="007A0FFC" w:rsidRDefault="007A0FFC" w:rsidP="007A0FFC">
      <w:pPr>
        <w:jc w:val="both"/>
        <w:rPr>
          <w:bCs/>
          <w:sz w:val="24"/>
          <w:szCs w:val="24"/>
        </w:rPr>
      </w:pPr>
    </w:p>
    <w:p w14:paraId="754BAB9B" w14:textId="26625377" w:rsidR="007A0FFC" w:rsidRDefault="007A0FFC" w:rsidP="007A0FFC">
      <w:pPr>
        <w:jc w:val="both"/>
        <w:rPr>
          <w:bCs/>
          <w:sz w:val="24"/>
          <w:szCs w:val="24"/>
        </w:rPr>
      </w:pPr>
      <w:r>
        <w:rPr>
          <w:bCs/>
          <w:sz w:val="24"/>
          <w:szCs w:val="24"/>
        </w:rPr>
        <w:t>Lugupidamisega</w:t>
      </w:r>
    </w:p>
    <w:p w14:paraId="28D7972A" w14:textId="045442D4" w:rsidR="007A0FFC" w:rsidRDefault="00E00871" w:rsidP="007A0FFC">
      <w:pPr>
        <w:jc w:val="both"/>
        <w:rPr>
          <w:bCs/>
          <w:sz w:val="24"/>
          <w:szCs w:val="24"/>
        </w:rPr>
      </w:pPr>
      <w:r>
        <w:rPr>
          <w:bCs/>
          <w:sz w:val="24"/>
          <w:szCs w:val="24"/>
        </w:rPr>
        <w:t>(allkirjastatud digitaalselt)</w:t>
      </w:r>
    </w:p>
    <w:p w14:paraId="6FBC3DA1" w14:textId="77777777" w:rsidR="00E00871" w:rsidRDefault="00E00871" w:rsidP="007A0FFC">
      <w:pPr>
        <w:jc w:val="both"/>
        <w:rPr>
          <w:bCs/>
          <w:sz w:val="24"/>
          <w:szCs w:val="24"/>
        </w:rPr>
      </w:pPr>
    </w:p>
    <w:p w14:paraId="2EB4FA05" w14:textId="3176C748" w:rsidR="00E00871" w:rsidRDefault="00E00871" w:rsidP="007A0FFC">
      <w:pPr>
        <w:jc w:val="both"/>
        <w:rPr>
          <w:bCs/>
          <w:sz w:val="24"/>
          <w:szCs w:val="24"/>
        </w:rPr>
      </w:pPr>
      <w:r>
        <w:rPr>
          <w:bCs/>
          <w:sz w:val="24"/>
          <w:szCs w:val="24"/>
        </w:rPr>
        <w:t>Anto Kasak</w:t>
      </w:r>
    </w:p>
    <w:p w14:paraId="74C3E2D5" w14:textId="7C1A4FD7" w:rsidR="00E00871" w:rsidRDefault="00E00871" w:rsidP="007A0FFC">
      <w:pPr>
        <w:jc w:val="both"/>
        <w:rPr>
          <w:bCs/>
          <w:sz w:val="24"/>
          <w:szCs w:val="24"/>
        </w:rPr>
      </w:pPr>
      <w:r>
        <w:rPr>
          <w:bCs/>
          <w:sz w:val="24"/>
          <w:szCs w:val="24"/>
        </w:rPr>
        <w:t>Mari Schihalejev</w:t>
      </w:r>
    </w:p>
    <w:p w14:paraId="02E504D4" w14:textId="5B233EAA" w:rsidR="007A0FFC" w:rsidRPr="007A0FFC" w:rsidRDefault="00D27C3B" w:rsidP="007A0FFC">
      <w:pPr>
        <w:jc w:val="both"/>
        <w:rPr>
          <w:bCs/>
          <w:sz w:val="24"/>
          <w:szCs w:val="24"/>
        </w:rPr>
      </w:pPr>
      <w:r>
        <w:rPr>
          <w:bCs/>
          <w:sz w:val="24"/>
          <w:szCs w:val="24"/>
        </w:rPr>
        <w:t>Tartu Ülikooli õigusteaduskonna pankrotiõiguse lektorid</w:t>
      </w:r>
    </w:p>
    <w:sectPr w:rsidR="007A0FFC" w:rsidRPr="007A0FFC" w:rsidSect="00861840">
      <w:headerReference w:type="even" r:id="rId8"/>
      <w:headerReference w:type="default" r:id="rId9"/>
      <w:pgSz w:w="11900" w:h="16840"/>
      <w:pgMar w:top="1575" w:right="1134" w:bottom="149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5B352" w14:textId="77777777" w:rsidR="00861840" w:rsidRDefault="00861840" w:rsidP="0089036A">
      <w:r>
        <w:separator/>
      </w:r>
    </w:p>
  </w:endnote>
  <w:endnote w:type="continuationSeparator" w:id="0">
    <w:p w14:paraId="1A4965D3" w14:textId="77777777" w:rsidR="00861840" w:rsidRDefault="00861840" w:rsidP="00890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2C761" w14:textId="77777777" w:rsidR="00861840" w:rsidRDefault="00861840" w:rsidP="0089036A">
      <w:r>
        <w:separator/>
      </w:r>
    </w:p>
  </w:footnote>
  <w:footnote w:type="continuationSeparator" w:id="0">
    <w:p w14:paraId="66B2B91D" w14:textId="77777777" w:rsidR="00861840" w:rsidRDefault="00861840" w:rsidP="0089036A">
      <w:r>
        <w:continuationSeparator/>
      </w:r>
    </w:p>
  </w:footnote>
  <w:footnote w:id="1">
    <w:p w14:paraId="2D35616F" w14:textId="385EFE52" w:rsidR="00B50EF3" w:rsidRPr="00B50EF3" w:rsidRDefault="00B50EF3">
      <w:pPr>
        <w:pStyle w:val="Allmrkusetekst"/>
      </w:pPr>
      <w:r>
        <w:rPr>
          <w:rStyle w:val="Allmrkuseviide"/>
        </w:rPr>
        <w:footnoteRef/>
      </w:r>
      <w:r>
        <w:t xml:space="preserve"> </w:t>
      </w:r>
      <w:proofErr w:type="spellStart"/>
      <w:r w:rsidRPr="00B50EF3">
        <w:rPr>
          <w:b/>
          <w:bCs/>
          <w:color w:val="000000"/>
        </w:rPr>
        <w:t>Fletcher</w:t>
      </w:r>
      <w:proofErr w:type="spellEnd"/>
      <w:r w:rsidRPr="00B50EF3">
        <w:rPr>
          <w:b/>
          <w:bCs/>
          <w:color w:val="000000"/>
        </w:rPr>
        <w:t>, I. F.</w:t>
      </w:r>
      <w:r>
        <w:rPr>
          <w:color w:val="000000"/>
        </w:rPr>
        <w:t xml:space="preserve"> The Law of </w:t>
      </w:r>
      <w:proofErr w:type="spellStart"/>
      <w:r>
        <w:rPr>
          <w:color w:val="000000"/>
        </w:rPr>
        <w:t>Insolvency</w:t>
      </w:r>
      <w:proofErr w:type="spellEnd"/>
      <w:r>
        <w:rPr>
          <w:color w:val="000000"/>
        </w:rPr>
        <w:t xml:space="preserve">. London, </w:t>
      </w:r>
      <w:proofErr w:type="spellStart"/>
      <w:r>
        <w:rPr>
          <w:color w:val="000000"/>
        </w:rPr>
        <w:t>Sweet</w:t>
      </w:r>
      <w:proofErr w:type="spellEnd"/>
      <w:r>
        <w:rPr>
          <w:color w:val="000000"/>
        </w:rPr>
        <w:t xml:space="preserve"> &amp; </w:t>
      </w:r>
      <w:proofErr w:type="spellStart"/>
      <w:r>
        <w:rPr>
          <w:color w:val="000000"/>
        </w:rPr>
        <w:t>Maxwell</w:t>
      </w:r>
      <w:proofErr w:type="spellEnd"/>
      <w:r>
        <w:rPr>
          <w:color w:val="000000"/>
        </w:rPr>
        <w:t xml:space="preserve"> Ltd 2002, lk 2.</w:t>
      </w:r>
    </w:p>
  </w:footnote>
  <w:footnote w:id="2">
    <w:p w14:paraId="106C0E9E" w14:textId="75C42CBD" w:rsidR="007137D7" w:rsidRDefault="007137D7">
      <w:pPr>
        <w:pStyle w:val="Allmrkusetekst"/>
      </w:pPr>
      <w:r>
        <w:rPr>
          <w:rStyle w:val="Allmrkuseviide"/>
        </w:rPr>
        <w:footnoteRef/>
      </w:r>
      <w:r>
        <w:t xml:space="preserve"> RK 2-21-3244 p 14.1.3. </w:t>
      </w:r>
    </w:p>
  </w:footnote>
  <w:footnote w:id="3">
    <w:p w14:paraId="5C9CBA0D" w14:textId="116808B8" w:rsidR="00DD3910" w:rsidRDefault="00DD3910">
      <w:pPr>
        <w:pStyle w:val="Allmrkusetekst"/>
      </w:pPr>
      <w:r>
        <w:rPr>
          <w:rStyle w:val="Allmrkuseviide"/>
        </w:rPr>
        <w:footnoteRef/>
      </w:r>
      <w:r>
        <w:t xml:space="preserve"> </w:t>
      </w:r>
      <w:r w:rsidR="005F205E">
        <w:t xml:space="preserve">Nt </w:t>
      </w:r>
      <w:r>
        <w:t>RK 2-19-18842, p 14; RK 3-2-1-30-17 p 12</w:t>
      </w:r>
      <w:r w:rsidR="00353361">
        <w:t>.</w:t>
      </w:r>
    </w:p>
  </w:footnote>
  <w:footnote w:id="4">
    <w:p w14:paraId="201BAF67" w14:textId="4C9680EF" w:rsidR="00975A02" w:rsidRPr="0001636D" w:rsidRDefault="00975A02" w:rsidP="00975A02">
      <w:pPr>
        <w:pStyle w:val="Allmrkusetekst"/>
      </w:pPr>
      <w:r>
        <w:rPr>
          <w:rStyle w:val="Allmrkuseviide"/>
        </w:rPr>
        <w:footnoteRef/>
      </w:r>
      <w:r>
        <w:t xml:space="preserve"> </w:t>
      </w:r>
      <w:r w:rsidRPr="0001636D">
        <w:rPr>
          <w:color w:val="000000"/>
        </w:rPr>
        <w:t>Pankrotiseaduse ja teiste seaduste muutmise seaduse eelnõu 195 SE seletuskiri, lk 13-15.</w:t>
      </w:r>
      <w:r w:rsidR="0001636D">
        <w:rPr>
          <w:color w:val="000000"/>
        </w:rPr>
        <w:t xml:space="preserve"> Kättesaadav arvutivõrgus - </w:t>
      </w:r>
      <w:hyperlink r:id="rId1" w:history="1">
        <w:r w:rsidR="0001636D" w:rsidRPr="00C320D6">
          <w:rPr>
            <w:rStyle w:val="Hperlink"/>
          </w:rPr>
          <w:t>https://www.riigikogu.ee/tegevus/eelnoud/eelnou/857ac417-4293-45a1-a782-0c19c257a42c/Pankrotiseaduse%20ja%20teiste%20seaduste%20muutmise%20seadus/</w:t>
        </w:r>
      </w:hyperlink>
      <w:r w:rsidR="0001636D">
        <w:rPr>
          <w:color w:val="000000"/>
        </w:rPr>
        <w:t xml:space="preserve">. </w:t>
      </w:r>
    </w:p>
  </w:footnote>
  <w:footnote w:id="5">
    <w:p w14:paraId="7ECBFA6E" w14:textId="04A97095" w:rsidR="0001636D" w:rsidRPr="0001636D" w:rsidRDefault="00F81F5C" w:rsidP="0001636D">
      <w:r w:rsidRPr="0001636D">
        <w:rPr>
          <w:rStyle w:val="Allmrkuseviide"/>
        </w:rPr>
        <w:footnoteRef/>
      </w:r>
      <w:r w:rsidRPr="0001636D">
        <w:t xml:space="preserve"> </w:t>
      </w:r>
      <w:r w:rsidR="0001636D" w:rsidRPr="0001636D">
        <w:t xml:space="preserve">Seletuskiri karistusseadustiku ja sellega seonduvalt teiste seaduste muutmise seaduse eelnõu juurde, lk 88. Kättesaadav arvutivõrgus - </w:t>
      </w:r>
      <w:hyperlink r:id="rId2" w:history="1">
        <w:r w:rsidR="0001636D" w:rsidRPr="00C320D6">
          <w:rPr>
            <w:rStyle w:val="Hperlink"/>
          </w:rPr>
          <w:t>https://www.riigikogu.ee/tegevus/eelnoud/eelnou/78433b29-8b2f-4281-a582-0efb9631e2ad</w:t>
        </w:r>
      </w:hyperlink>
      <w:r w:rsidR="0001636D">
        <w:t xml:space="preserve">. </w:t>
      </w:r>
    </w:p>
    <w:p w14:paraId="58524D06" w14:textId="7CCC48B7" w:rsidR="00F81F5C" w:rsidRDefault="00F81F5C">
      <w:pPr>
        <w:pStyle w:val="Allmrkusetekst"/>
      </w:pPr>
    </w:p>
  </w:footnote>
  <w:footnote w:id="6">
    <w:p w14:paraId="1683ED8E" w14:textId="086D3D87" w:rsidR="00657D08" w:rsidRDefault="00657D08" w:rsidP="00657D08">
      <w:pPr>
        <w:pStyle w:val="Allmrkusetekst"/>
      </w:pPr>
      <w:r>
        <w:rPr>
          <w:rStyle w:val="Allmrkuseviide"/>
        </w:rPr>
        <w:footnoteRef/>
      </w:r>
      <w:r>
        <w:t xml:space="preserve"> RK 3-2-1-124-09 p 15 ja RK 3-3-1-70-15 p 26.</w:t>
      </w:r>
    </w:p>
  </w:footnote>
  <w:footnote w:id="7">
    <w:p w14:paraId="1E183EEE" w14:textId="51F3A011" w:rsidR="00657D08" w:rsidRDefault="00657D08">
      <w:pPr>
        <w:pStyle w:val="Allmrkusetekst"/>
      </w:pPr>
      <w:r>
        <w:rPr>
          <w:rStyle w:val="Allmrkuseviide"/>
        </w:rPr>
        <w:footnoteRef/>
      </w:r>
      <w:r>
        <w:t xml:space="preserve"> RK 3-2-1-134-16 p 50.</w:t>
      </w:r>
    </w:p>
  </w:footnote>
  <w:footnote w:id="8">
    <w:p w14:paraId="18E66AC2" w14:textId="2060F005" w:rsidR="00657D08" w:rsidRDefault="00657D08" w:rsidP="00657D08">
      <w:pPr>
        <w:pStyle w:val="Allmrkusetekst"/>
      </w:pPr>
      <w:r>
        <w:rPr>
          <w:rStyle w:val="Allmrkuseviide"/>
        </w:rPr>
        <w:footnoteRef/>
      </w:r>
      <w:r>
        <w:t xml:space="preserve"> RK 3-2-1-124-09 p 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22DEC" w14:textId="77777777" w:rsidR="005E6FE9" w:rsidRDefault="005E6FE9" w:rsidP="003A20D6">
    <w:pPr>
      <w:pStyle w:val="Pis"/>
      <w:framePr w:wrap="none"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48AE95B5" w14:textId="77777777" w:rsidR="005E6FE9" w:rsidRDefault="005E6FE9" w:rsidP="0089036A">
    <w:pPr>
      <w:pStyle w:val="Pi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F54E1" w14:textId="77777777" w:rsidR="005E6FE9" w:rsidRDefault="005E6FE9" w:rsidP="003A20D6">
    <w:pPr>
      <w:pStyle w:val="Pis"/>
      <w:framePr w:wrap="none"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F67F3F">
      <w:rPr>
        <w:rStyle w:val="Lehekljenumber"/>
        <w:noProof/>
      </w:rPr>
      <w:t>20</w:t>
    </w:r>
    <w:r>
      <w:rPr>
        <w:rStyle w:val="Lehekljenumber"/>
      </w:rPr>
      <w:fldChar w:fldCharType="end"/>
    </w:r>
  </w:p>
  <w:p w14:paraId="1DAC5E03" w14:textId="77777777" w:rsidR="005E6FE9" w:rsidRDefault="005E6FE9" w:rsidP="0089036A">
    <w:pPr>
      <w:pStyle w:val="Pi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4"/>
      <w:numFmt w:val="bullet"/>
      <w:lvlText w:val="."/>
      <w:lvlJc w:val="left"/>
      <w:pPr>
        <w:ind w:left="720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3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2"/>
      <w:numFmt w:val="decimal"/>
      <w:lvlText w:val="%1."/>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536A17"/>
    <w:multiLevelType w:val="hybridMultilevel"/>
    <w:tmpl w:val="EBC69B24"/>
    <w:lvl w:ilvl="0" w:tplc="CB145C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ED7EF5"/>
    <w:multiLevelType w:val="hybridMultilevel"/>
    <w:tmpl w:val="F0987922"/>
    <w:lvl w:ilvl="0" w:tplc="30FEEEB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8A063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233B28"/>
    <w:multiLevelType w:val="hybridMultilevel"/>
    <w:tmpl w:val="1A2EA44A"/>
    <w:lvl w:ilvl="0" w:tplc="F5FA370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1FDA1B38"/>
    <w:multiLevelType w:val="hybridMultilevel"/>
    <w:tmpl w:val="E1D2B978"/>
    <w:lvl w:ilvl="0" w:tplc="34CA7D78">
      <w:start w:val="1"/>
      <w:numFmt w:val="lowerLetter"/>
      <w:lvlText w:val="(%1)"/>
      <w:lvlJc w:val="left"/>
      <w:pPr>
        <w:ind w:left="3320" w:hanging="400"/>
      </w:pPr>
      <w:rPr>
        <w:rFonts w:hint="default"/>
      </w:rPr>
    </w:lvl>
    <w:lvl w:ilvl="1" w:tplc="08090019" w:tentative="1">
      <w:start w:val="1"/>
      <w:numFmt w:val="lowerLetter"/>
      <w:lvlText w:val="%2."/>
      <w:lvlJc w:val="left"/>
      <w:pPr>
        <w:ind w:left="4000" w:hanging="360"/>
      </w:pPr>
    </w:lvl>
    <w:lvl w:ilvl="2" w:tplc="0809001B" w:tentative="1">
      <w:start w:val="1"/>
      <w:numFmt w:val="lowerRoman"/>
      <w:lvlText w:val="%3."/>
      <w:lvlJc w:val="right"/>
      <w:pPr>
        <w:ind w:left="4720" w:hanging="180"/>
      </w:pPr>
    </w:lvl>
    <w:lvl w:ilvl="3" w:tplc="0809000F" w:tentative="1">
      <w:start w:val="1"/>
      <w:numFmt w:val="decimal"/>
      <w:lvlText w:val="%4."/>
      <w:lvlJc w:val="left"/>
      <w:pPr>
        <w:ind w:left="5440" w:hanging="360"/>
      </w:pPr>
    </w:lvl>
    <w:lvl w:ilvl="4" w:tplc="08090019" w:tentative="1">
      <w:start w:val="1"/>
      <w:numFmt w:val="lowerLetter"/>
      <w:lvlText w:val="%5."/>
      <w:lvlJc w:val="left"/>
      <w:pPr>
        <w:ind w:left="6160" w:hanging="360"/>
      </w:pPr>
    </w:lvl>
    <w:lvl w:ilvl="5" w:tplc="0809001B" w:tentative="1">
      <w:start w:val="1"/>
      <w:numFmt w:val="lowerRoman"/>
      <w:lvlText w:val="%6."/>
      <w:lvlJc w:val="right"/>
      <w:pPr>
        <w:ind w:left="6880" w:hanging="180"/>
      </w:pPr>
    </w:lvl>
    <w:lvl w:ilvl="6" w:tplc="0809000F" w:tentative="1">
      <w:start w:val="1"/>
      <w:numFmt w:val="decimal"/>
      <w:lvlText w:val="%7."/>
      <w:lvlJc w:val="left"/>
      <w:pPr>
        <w:ind w:left="7600" w:hanging="360"/>
      </w:pPr>
    </w:lvl>
    <w:lvl w:ilvl="7" w:tplc="08090019" w:tentative="1">
      <w:start w:val="1"/>
      <w:numFmt w:val="lowerLetter"/>
      <w:lvlText w:val="%8."/>
      <w:lvlJc w:val="left"/>
      <w:pPr>
        <w:ind w:left="8320" w:hanging="360"/>
      </w:pPr>
    </w:lvl>
    <w:lvl w:ilvl="8" w:tplc="0809001B" w:tentative="1">
      <w:start w:val="1"/>
      <w:numFmt w:val="lowerRoman"/>
      <w:lvlText w:val="%9."/>
      <w:lvlJc w:val="right"/>
      <w:pPr>
        <w:ind w:left="9040" w:hanging="180"/>
      </w:pPr>
    </w:lvl>
  </w:abstractNum>
  <w:abstractNum w:abstractNumId="8" w15:restartNumberingAfterBreak="0">
    <w:nsid w:val="419357B0"/>
    <w:multiLevelType w:val="hybridMultilevel"/>
    <w:tmpl w:val="54A2485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3566B95"/>
    <w:multiLevelType w:val="hybridMultilevel"/>
    <w:tmpl w:val="4DD2FFAA"/>
    <w:lvl w:ilvl="0" w:tplc="950437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5A1B46"/>
    <w:multiLevelType w:val="hybridMultilevel"/>
    <w:tmpl w:val="1C147E22"/>
    <w:lvl w:ilvl="0" w:tplc="BF08448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7A52D4"/>
    <w:multiLevelType w:val="multilevel"/>
    <w:tmpl w:val="CF00CA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ABA5AA6"/>
    <w:multiLevelType w:val="hybridMultilevel"/>
    <w:tmpl w:val="D1B6B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5E438F"/>
    <w:multiLevelType w:val="hybridMultilevel"/>
    <w:tmpl w:val="4B207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7D18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89A0EA6"/>
    <w:multiLevelType w:val="hybridMultilevel"/>
    <w:tmpl w:val="09B496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1674777">
    <w:abstractNumId w:val="8"/>
  </w:num>
  <w:num w:numId="2" w16cid:durableId="1537235384">
    <w:abstractNumId w:val="3"/>
  </w:num>
  <w:num w:numId="3" w16cid:durableId="774011514">
    <w:abstractNumId w:val="4"/>
  </w:num>
  <w:num w:numId="4" w16cid:durableId="1074861069">
    <w:abstractNumId w:val="0"/>
  </w:num>
  <w:num w:numId="5" w16cid:durableId="222985789">
    <w:abstractNumId w:val="14"/>
  </w:num>
  <w:num w:numId="6" w16cid:durableId="270937380">
    <w:abstractNumId w:val="5"/>
  </w:num>
  <w:num w:numId="7" w16cid:durableId="354624124">
    <w:abstractNumId w:val="6"/>
  </w:num>
  <w:num w:numId="8" w16cid:durableId="2083869864">
    <w:abstractNumId w:val="10"/>
  </w:num>
  <w:num w:numId="9" w16cid:durableId="1692142351">
    <w:abstractNumId w:val="1"/>
  </w:num>
  <w:num w:numId="10" w16cid:durableId="1353266828">
    <w:abstractNumId w:val="7"/>
  </w:num>
  <w:num w:numId="11" w16cid:durableId="1418819738">
    <w:abstractNumId w:val="9"/>
  </w:num>
  <w:num w:numId="12" w16cid:durableId="1894805995">
    <w:abstractNumId w:val="2"/>
  </w:num>
  <w:num w:numId="13" w16cid:durableId="1295603051">
    <w:abstractNumId w:val="15"/>
  </w:num>
  <w:num w:numId="14" w16cid:durableId="939869765">
    <w:abstractNumId w:val="11"/>
  </w:num>
  <w:num w:numId="15" w16cid:durableId="1418669007">
    <w:abstractNumId w:val="12"/>
  </w:num>
  <w:num w:numId="16" w16cid:durableId="7520450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hideSpellingErrors/>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D5F"/>
    <w:rsid w:val="000016BD"/>
    <w:rsid w:val="00005993"/>
    <w:rsid w:val="00010AB3"/>
    <w:rsid w:val="0001636D"/>
    <w:rsid w:val="00026EB1"/>
    <w:rsid w:val="00053421"/>
    <w:rsid w:val="00053CF1"/>
    <w:rsid w:val="00087624"/>
    <w:rsid w:val="00087C61"/>
    <w:rsid w:val="00093D7F"/>
    <w:rsid w:val="000B4730"/>
    <w:rsid w:val="000C6297"/>
    <w:rsid w:val="000D285C"/>
    <w:rsid w:val="000D3672"/>
    <w:rsid w:val="000D63B3"/>
    <w:rsid w:val="00117114"/>
    <w:rsid w:val="001241C1"/>
    <w:rsid w:val="001327B7"/>
    <w:rsid w:val="00132E8C"/>
    <w:rsid w:val="0014527A"/>
    <w:rsid w:val="00175E3A"/>
    <w:rsid w:val="0019293D"/>
    <w:rsid w:val="0019545D"/>
    <w:rsid w:val="001A0123"/>
    <w:rsid w:val="001B67C9"/>
    <w:rsid w:val="001C7491"/>
    <w:rsid w:val="001D56D9"/>
    <w:rsid w:val="001D60F1"/>
    <w:rsid w:val="001F4346"/>
    <w:rsid w:val="00203BDB"/>
    <w:rsid w:val="002068A4"/>
    <w:rsid w:val="0021201A"/>
    <w:rsid w:val="00215845"/>
    <w:rsid w:val="00223CAF"/>
    <w:rsid w:val="002319FA"/>
    <w:rsid w:val="00234D6B"/>
    <w:rsid w:val="00240450"/>
    <w:rsid w:val="002471A6"/>
    <w:rsid w:val="002524C3"/>
    <w:rsid w:val="00286834"/>
    <w:rsid w:val="002929A6"/>
    <w:rsid w:val="002C4F2F"/>
    <w:rsid w:val="003114D9"/>
    <w:rsid w:val="003157F4"/>
    <w:rsid w:val="003218C1"/>
    <w:rsid w:val="00325D97"/>
    <w:rsid w:val="00337EC0"/>
    <w:rsid w:val="00353361"/>
    <w:rsid w:val="00363BD9"/>
    <w:rsid w:val="00376060"/>
    <w:rsid w:val="003851E5"/>
    <w:rsid w:val="003A20D6"/>
    <w:rsid w:val="003F499C"/>
    <w:rsid w:val="0043273D"/>
    <w:rsid w:val="004341D7"/>
    <w:rsid w:val="00455B61"/>
    <w:rsid w:val="0047628D"/>
    <w:rsid w:val="004A4CDB"/>
    <w:rsid w:val="004A5189"/>
    <w:rsid w:val="004B313D"/>
    <w:rsid w:val="004B634F"/>
    <w:rsid w:val="004C2344"/>
    <w:rsid w:val="004F63FF"/>
    <w:rsid w:val="00513B95"/>
    <w:rsid w:val="00513F06"/>
    <w:rsid w:val="00524BA4"/>
    <w:rsid w:val="00524DF0"/>
    <w:rsid w:val="00534FD7"/>
    <w:rsid w:val="0057406C"/>
    <w:rsid w:val="005A27EB"/>
    <w:rsid w:val="005E6FE9"/>
    <w:rsid w:val="005F205E"/>
    <w:rsid w:val="005F37E0"/>
    <w:rsid w:val="006017BA"/>
    <w:rsid w:val="006413CB"/>
    <w:rsid w:val="0065792D"/>
    <w:rsid w:val="00657D08"/>
    <w:rsid w:val="006669F6"/>
    <w:rsid w:val="00675075"/>
    <w:rsid w:val="006B4D1B"/>
    <w:rsid w:val="006C1358"/>
    <w:rsid w:val="006E1041"/>
    <w:rsid w:val="006E7E7F"/>
    <w:rsid w:val="00704053"/>
    <w:rsid w:val="007137D7"/>
    <w:rsid w:val="007266C1"/>
    <w:rsid w:val="00732B8E"/>
    <w:rsid w:val="0076178D"/>
    <w:rsid w:val="007664B6"/>
    <w:rsid w:val="007804CF"/>
    <w:rsid w:val="007A0FFC"/>
    <w:rsid w:val="00800F0B"/>
    <w:rsid w:val="00801645"/>
    <w:rsid w:val="00807036"/>
    <w:rsid w:val="008079C7"/>
    <w:rsid w:val="0081158F"/>
    <w:rsid w:val="00822ED7"/>
    <w:rsid w:val="0082622B"/>
    <w:rsid w:val="008273B3"/>
    <w:rsid w:val="00827651"/>
    <w:rsid w:val="008416DA"/>
    <w:rsid w:val="00851B4D"/>
    <w:rsid w:val="00853C81"/>
    <w:rsid w:val="00861840"/>
    <w:rsid w:val="00866257"/>
    <w:rsid w:val="008902EA"/>
    <w:rsid w:val="0089036A"/>
    <w:rsid w:val="008A15AC"/>
    <w:rsid w:val="008A2EBE"/>
    <w:rsid w:val="008A4C86"/>
    <w:rsid w:val="008A5E14"/>
    <w:rsid w:val="0090535D"/>
    <w:rsid w:val="009228D5"/>
    <w:rsid w:val="00931386"/>
    <w:rsid w:val="00972E90"/>
    <w:rsid w:val="00975A02"/>
    <w:rsid w:val="009972B9"/>
    <w:rsid w:val="009A0063"/>
    <w:rsid w:val="009A20DF"/>
    <w:rsid w:val="009A4C58"/>
    <w:rsid w:val="009A6AB4"/>
    <w:rsid w:val="009B348F"/>
    <w:rsid w:val="009C427B"/>
    <w:rsid w:val="009E0F6C"/>
    <w:rsid w:val="009E2976"/>
    <w:rsid w:val="009E3B13"/>
    <w:rsid w:val="009E55BC"/>
    <w:rsid w:val="009F4F40"/>
    <w:rsid w:val="00A02DD8"/>
    <w:rsid w:val="00A136E7"/>
    <w:rsid w:val="00A4522B"/>
    <w:rsid w:val="00A45F47"/>
    <w:rsid w:val="00A50FD0"/>
    <w:rsid w:val="00A56DCE"/>
    <w:rsid w:val="00A84381"/>
    <w:rsid w:val="00A92446"/>
    <w:rsid w:val="00AA0135"/>
    <w:rsid w:val="00AA2639"/>
    <w:rsid w:val="00AA3030"/>
    <w:rsid w:val="00AE0B12"/>
    <w:rsid w:val="00AE4B77"/>
    <w:rsid w:val="00AF1C9D"/>
    <w:rsid w:val="00AF43B9"/>
    <w:rsid w:val="00B23EBF"/>
    <w:rsid w:val="00B50EF3"/>
    <w:rsid w:val="00B52017"/>
    <w:rsid w:val="00B66669"/>
    <w:rsid w:val="00B70D17"/>
    <w:rsid w:val="00B8173D"/>
    <w:rsid w:val="00B87D5F"/>
    <w:rsid w:val="00BC2E58"/>
    <w:rsid w:val="00BC540B"/>
    <w:rsid w:val="00C41850"/>
    <w:rsid w:val="00C54268"/>
    <w:rsid w:val="00C649E8"/>
    <w:rsid w:val="00C85BD1"/>
    <w:rsid w:val="00CA7F8D"/>
    <w:rsid w:val="00CB6CB9"/>
    <w:rsid w:val="00CE507E"/>
    <w:rsid w:val="00D10E91"/>
    <w:rsid w:val="00D24586"/>
    <w:rsid w:val="00D24667"/>
    <w:rsid w:val="00D27C3B"/>
    <w:rsid w:val="00D34E66"/>
    <w:rsid w:val="00D44300"/>
    <w:rsid w:val="00D61101"/>
    <w:rsid w:val="00D7537E"/>
    <w:rsid w:val="00D86A0A"/>
    <w:rsid w:val="00D90E3C"/>
    <w:rsid w:val="00D91FA2"/>
    <w:rsid w:val="00D9444C"/>
    <w:rsid w:val="00D97CE6"/>
    <w:rsid w:val="00DB6C63"/>
    <w:rsid w:val="00DD3910"/>
    <w:rsid w:val="00DD75DF"/>
    <w:rsid w:val="00DD7AF8"/>
    <w:rsid w:val="00DE66C9"/>
    <w:rsid w:val="00DF6649"/>
    <w:rsid w:val="00E00871"/>
    <w:rsid w:val="00E2173A"/>
    <w:rsid w:val="00E26087"/>
    <w:rsid w:val="00E4164E"/>
    <w:rsid w:val="00E74350"/>
    <w:rsid w:val="00E87953"/>
    <w:rsid w:val="00EA7BB9"/>
    <w:rsid w:val="00EE5743"/>
    <w:rsid w:val="00EE7433"/>
    <w:rsid w:val="00EF7037"/>
    <w:rsid w:val="00F11E29"/>
    <w:rsid w:val="00F13CFB"/>
    <w:rsid w:val="00F40373"/>
    <w:rsid w:val="00F67F3F"/>
    <w:rsid w:val="00F73A68"/>
    <w:rsid w:val="00F81F5C"/>
    <w:rsid w:val="00FA4B8F"/>
    <w:rsid w:val="00FB79D4"/>
    <w:rsid w:val="00FB7A97"/>
    <w:rsid w:val="00FC61F6"/>
    <w:rsid w:val="00FD03B6"/>
    <w:rsid w:val="00FD2F3E"/>
    <w:rsid w:val="00FE4D1E"/>
    <w:rsid w:val="00FE5DA3"/>
    <w:rsid w:val="00FF0EE6"/>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2836C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t-E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7804CF"/>
    <w:rPr>
      <w:rFonts w:eastAsia="Times New Roman"/>
      <w:sz w:val="20"/>
      <w:szCs w:val="20"/>
    </w:rPr>
  </w:style>
  <w:style w:type="paragraph" w:styleId="Pealkiri1">
    <w:name w:val="heading 1"/>
    <w:basedOn w:val="Normaallaad"/>
    <w:link w:val="Pealkiri1Mrk"/>
    <w:uiPriority w:val="9"/>
    <w:qFormat/>
    <w:rsid w:val="006017BA"/>
    <w:pPr>
      <w:spacing w:before="100" w:beforeAutospacing="1" w:after="100" w:afterAutospacing="1"/>
      <w:outlineLvl w:val="0"/>
    </w:pPr>
    <w:rPr>
      <w:rFonts w:eastAsiaTheme="minorEastAsia"/>
      <w:b/>
      <w:bCs/>
      <w:kern w:val="36"/>
      <w:sz w:val="48"/>
      <w:szCs w:val="48"/>
      <w:lang w:val="en-GB" w:eastAsia="en-GB"/>
    </w:rPr>
  </w:style>
  <w:style w:type="paragraph" w:styleId="Pealkiri3">
    <w:name w:val="heading 3"/>
    <w:basedOn w:val="Normaallaad"/>
    <w:next w:val="Normaallaad"/>
    <w:link w:val="Pealkiri3Mrk"/>
    <w:uiPriority w:val="9"/>
    <w:semiHidden/>
    <w:unhideWhenUsed/>
    <w:qFormat/>
    <w:rsid w:val="00F81F5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F13CFB"/>
    <w:rPr>
      <w:rFonts w:ascii="Lucida Grande" w:hAnsi="Lucida Grande" w:cs="Lucida Grande"/>
      <w:sz w:val="18"/>
      <w:szCs w:val="18"/>
    </w:rPr>
  </w:style>
  <w:style w:type="character" w:customStyle="1" w:styleId="JutumullitekstMrk">
    <w:name w:val="Jutumullitekst Märk"/>
    <w:basedOn w:val="Liguvaikefont"/>
    <w:link w:val="Jutumullitekst"/>
    <w:uiPriority w:val="99"/>
    <w:semiHidden/>
    <w:rsid w:val="00F13CFB"/>
    <w:rPr>
      <w:rFonts w:ascii="Lucida Grande" w:eastAsia="Times New Roman" w:hAnsi="Lucida Grande" w:cs="Lucida Grande"/>
      <w:sz w:val="18"/>
      <w:szCs w:val="18"/>
    </w:rPr>
  </w:style>
  <w:style w:type="character" w:styleId="Hperlink">
    <w:name w:val="Hyperlink"/>
    <w:basedOn w:val="Liguvaikefont"/>
    <w:uiPriority w:val="99"/>
    <w:unhideWhenUsed/>
    <w:rsid w:val="00026EB1"/>
    <w:rPr>
      <w:color w:val="0000FF" w:themeColor="hyperlink"/>
      <w:u w:val="single"/>
    </w:rPr>
  </w:style>
  <w:style w:type="paragraph" w:styleId="Loendilik">
    <w:name w:val="List Paragraph"/>
    <w:basedOn w:val="Normaallaad"/>
    <w:uiPriority w:val="34"/>
    <w:qFormat/>
    <w:rsid w:val="007266C1"/>
    <w:pPr>
      <w:ind w:left="720"/>
      <w:contextualSpacing/>
    </w:pPr>
  </w:style>
  <w:style w:type="paragraph" w:styleId="Pis">
    <w:name w:val="header"/>
    <w:basedOn w:val="Normaallaad"/>
    <w:link w:val="PisMrk"/>
    <w:uiPriority w:val="99"/>
    <w:unhideWhenUsed/>
    <w:rsid w:val="0089036A"/>
    <w:pPr>
      <w:tabs>
        <w:tab w:val="center" w:pos="4680"/>
        <w:tab w:val="right" w:pos="9360"/>
      </w:tabs>
    </w:pPr>
  </w:style>
  <w:style w:type="character" w:customStyle="1" w:styleId="PisMrk">
    <w:name w:val="Päis Märk"/>
    <w:basedOn w:val="Liguvaikefont"/>
    <w:link w:val="Pis"/>
    <w:uiPriority w:val="99"/>
    <w:rsid w:val="0089036A"/>
    <w:rPr>
      <w:rFonts w:eastAsia="Times New Roman"/>
      <w:sz w:val="20"/>
      <w:szCs w:val="20"/>
    </w:rPr>
  </w:style>
  <w:style w:type="character" w:styleId="Lehekljenumber">
    <w:name w:val="page number"/>
    <w:basedOn w:val="Liguvaikefont"/>
    <w:uiPriority w:val="99"/>
    <w:semiHidden/>
    <w:unhideWhenUsed/>
    <w:rsid w:val="0089036A"/>
  </w:style>
  <w:style w:type="character" w:customStyle="1" w:styleId="Pealkiri1Mrk">
    <w:name w:val="Pealkiri 1 Märk"/>
    <w:basedOn w:val="Liguvaikefont"/>
    <w:link w:val="Pealkiri1"/>
    <w:uiPriority w:val="9"/>
    <w:rsid w:val="006017BA"/>
    <w:rPr>
      <w:b/>
      <w:bCs/>
      <w:kern w:val="36"/>
      <w:sz w:val="48"/>
      <w:szCs w:val="48"/>
      <w:lang w:val="en-GB" w:eastAsia="en-GB"/>
    </w:rPr>
  </w:style>
  <w:style w:type="paragraph" w:styleId="Jalus">
    <w:name w:val="footer"/>
    <w:basedOn w:val="Normaallaad"/>
    <w:link w:val="JalusMrk"/>
    <w:uiPriority w:val="99"/>
    <w:unhideWhenUsed/>
    <w:rsid w:val="00286834"/>
    <w:pPr>
      <w:tabs>
        <w:tab w:val="center" w:pos="4680"/>
        <w:tab w:val="right" w:pos="9360"/>
      </w:tabs>
    </w:pPr>
  </w:style>
  <w:style w:type="character" w:customStyle="1" w:styleId="JalusMrk">
    <w:name w:val="Jalus Märk"/>
    <w:basedOn w:val="Liguvaikefont"/>
    <w:link w:val="Jalus"/>
    <w:uiPriority w:val="99"/>
    <w:rsid w:val="00286834"/>
    <w:rPr>
      <w:rFonts w:eastAsia="Times New Roman"/>
      <w:sz w:val="20"/>
      <w:szCs w:val="20"/>
    </w:rPr>
  </w:style>
  <w:style w:type="character" w:styleId="Lahendamatamainimine">
    <w:name w:val="Unresolved Mention"/>
    <w:basedOn w:val="Liguvaikefont"/>
    <w:uiPriority w:val="99"/>
    <w:rsid w:val="00D24667"/>
    <w:rPr>
      <w:color w:val="605E5C"/>
      <w:shd w:val="clear" w:color="auto" w:fill="E1DFDD"/>
    </w:rPr>
  </w:style>
  <w:style w:type="paragraph" w:styleId="Allmrkusetekst">
    <w:name w:val="footnote text"/>
    <w:basedOn w:val="Normaallaad"/>
    <w:link w:val="AllmrkusetekstMrk"/>
    <w:uiPriority w:val="99"/>
    <w:semiHidden/>
    <w:unhideWhenUsed/>
    <w:rsid w:val="00513B95"/>
  </w:style>
  <w:style w:type="character" w:customStyle="1" w:styleId="AllmrkusetekstMrk">
    <w:name w:val="Allmärkuse tekst Märk"/>
    <w:basedOn w:val="Liguvaikefont"/>
    <w:link w:val="Allmrkusetekst"/>
    <w:uiPriority w:val="99"/>
    <w:semiHidden/>
    <w:rsid w:val="00513B95"/>
    <w:rPr>
      <w:rFonts w:eastAsia="Times New Roman"/>
      <w:sz w:val="20"/>
      <w:szCs w:val="20"/>
    </w:rPr>
  </w:style>
  <w:style w:type="character" w:styleId="Allmrkuseviide">
    <w:name w:val="footnote reference"/>
    <w:basedOn w:val="Liguvaikefont"/>
    <w:uiPriority w:val="99"/>
    <w:semiHidden/>
    <w:unhideWhenUsed/>
    <w:rsid w:val="00513B95"/>
    <w:rPr>
      <w:vertAlign w:val="superscript"/>
    </w:rPr>
  </w:style>
  <w:style w:type="character" w:customStyle="1" w:styleId="apple-converted-space">
    <w:name w:val="apple-converted-space"/>
    <w:basedOn w:val="Liguvaikefont"/>
    <w:rsid w:val="00D97CE6"/>
  </w:style>
  <w:style w:type="character" w:customStyle="1" w:styleId="Pealkiri3Mrk">
    <w:name w:val="Pealkiri 3 Märk"/>
    <w:basedOn w:val="Liguvaikefont"/>
    <w:link w:val="Pealkiri3"/>
    <w:uiPriority w:val="9"/>
    <w:semiHidden/>
    <w:rsid w:val="00F81F5C"/>
    <w:rPr>
      <w:rFonts w:asciiTheme="majorHAnsi" w:eastAsiaTheme="majorEastAsia" w:hAnsiTheme="majorHAnsi" w:cstheme="majorBidi"/>
      <w:color w:val="243F60" w:themeColor="accent1" w:themeShade="7F"/>
    </w:rPr>
  </w:style>
  <w:style w:type="character" w:styleId="Tugev">
    <w:name w:val="Strong"/>
    <w:basedOn w:val="Liguvaikefont"/>
    <w:uiPriority w:val="22"/>
    <w:qFormat/>
    <w:rsid w:val="00F81F5C"/>
    <w:rPr>
      <w:b/>
      <w:bCs/>
    </w:rPr>
  </w:style>
  <w:style w:type="character" w:customStyle="1" w:styleId="mm">
    <w:name w:val="mm"/>
    <w:basedOn w:val="Liguvaikefont"/>
    <w:rsid w:val="00F81F5C"/>
  </w:style>
  <w:style w:type="character" w:styleId="Klastatudhperlink">
    <w:name w:val="FollowedHyperlink"/>
    <w:basedOn w:val="Liguvaikefont"/>
    <w:uiPriority w:val="99"/>
    <w:semiHidden/>
    <w:unhideWhenUsed/>
    <w:rsid w:val="0001636D"/>
    <w:rPr>
      <w:color w:val="800080" w:themeColor="followedHyperlink"/>
      <w:u w:val="single"/>
    </w:rPr>
  </w:style>
  <w:style w:type="paragraph" w:styleId="Normaallaadveeb">
    <w:name w:val="Normal (Web)"/>
    <w:basedOn w:val="Normaallaad"/>
    <w:uiPriority w:val="99"/>
    <w:semiHidden/>
    <w:unhideWhenUsed/>
    <w:rsid w:val="006413CB"/>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363334">
      <w:bodyDiv w:val="1"/>
      <w:marLeft w:val="0"/>
      <w:marRight w:val="0"/>
      <w:marTop w:val="0"/>
      <w:marBottom w:val="0"/>
      <w:divBdr>
        <w:top w:val="none" w:sz="0" w:space="0" w:color="auto"/>
        <w:left w:val="none" w:sz="0" w:space="0" w:color="auto"/>
        <w:bottom w:val="none" w:sz="0" w:space="0" w:color="auto"/>
        <w:right w:val="none" w:sz="0" w:space="0" w:color="auto"/>
      </w:divBdr>
    </w:div>
    <w:div w:id="661009621">
      <w:bodyDiv w:val="1"/>
      <w:marLeft w:val="0"/>
      <w:marRight w:val="0"/>
      <w:marTop w:val="0"/>
      <w:marBottom w:val="0"/>
      <w:divBdr>
        <w:top w:val="none" w:sz="0" w:space="0" w:color="auto"/>
        <w:left w:val="none" w:sz="0" w:space="0" w:color="auto"/>
        <w:bottom w:val="none" w:sz="0" w:space="0" w:color="auto"/>
        <w:right w:val="none" w:sz="0" w:space="0" w:color="auto"/>
      </w:divBdr>
    </w:div>
    <w:div w:id="1729183385">
      <w:bodyDiv w:val="1"/>
      <w:marLeft w:val="0"/>
      <w:marRight w:val="0"/>
      <w:marTop w:val="0"/>
      <w:marBottom w:val="0"/>
      <w:divBdr>
        <w:top w:val="none" w:sz="0" w:space="0" w:color="auto"/>
        <w:left w:val="none" w:sz="0" w:space="0" w:color="auto"/>
        <w:bottom w:val="none" w:sz="0" w:space="0" w:color="auto"/>
        <w:right w:val="none" w:sz="0" w:space="0" w:color="auto"/>
      </w:divBdr>
    </w:div>
    <w:div w:id="21064883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just.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riigikogu.ee/tegevus/eelnoud/eelnou/78433b29-8b2f-4281-a582-0efb9631e2ad" TargetMode="External"/><Relationship Id="rId1" Type="http://schemas.openxmlformats.org/officeDocument/2006/relationships/hyperlink" Target="https://www.riigikogu.ee/tegevus/eelnoud/eelnou/857ac417-4293-45a1-a782-0c19c257a42c/Pankrotiseaduse%20ja%20teiste%20seaduste%20muutmise%20sea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3289</Words>
  <Characters>19080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AB Kasak&amp;Missik</Company>
  <LinksUpToDate>false</LinksUpToDate>
  <CharactersWithSpaces>22325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Merlyn Mannov</dc:creator>
  <cp:keywords/>
  <dc:description/>
  <cp:lastModifiedBy>Mari Schihalejev</cp:lastModifiedBy>
  <cp:revision>20</cp:revision>
  <dcterms:created xsi:type="dcterms:W3CDTF">2024-03-25T18:55:00Z</dcterms:created>
  <dcterms:modified xsi:type="dcterms:W3CDTF">2024-03-25T19:22:00Z</dcterms:modified>
</cp:coreProperties>
</file>